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color w:val="auto"/>
          <w:spacing w:val="20"/>
          <w:kern w:val="10"/>
          <w:sz w:val="36"/>
          <w:szCs w:val="36"/>
        </w:rPr>
      </w:pPr>
      <w:r>
        <w:rPr>
          <w:rFonts w:hint="eastAsia" w:ascii="华文新魏" w:hAnsi="Times New Roman" w:eastAsia="华文新魏" w:cs="华文新魏"/>
          <w:b/>
          <w:bCs/>
          <w:color w:val="auto"/>
          <w:spacing w:val="20"/>
          <w:kern w:val="10"/>
          <w:sz w:val="36"/>
          <w:szCs w:val="36"/>
          <w:lang w:val="en-US" w:eastAsia="zh-CN"/>
        </w:rPr>
        <w:t>2023年秋季学期体育教学用品</w:t>
      </w:r>
      <w:r>
        <w:rPr>
          <w:rFonts w:hint="eastAsia" w:ascii="华文新魏" w:hAnsi="Times New Roman" w:eastAsia="华文新魏" w:cs="华文新魏"/>
          <w:b/>
          <w:bCs/>
          <w:color w:val="auto"/>
          <w:spacing w:val="20"/>
          <w:kern w:val="10"/>
          <w:sz w:val="36"/>
          <w:szCs w:val="36"/>
        </w:rPr>
        <w:t>采购项目</w:t>
      </w:r>
    </w:p>
    <w:p>
      <w:pPr>
        <w:spacing w:line="360" w:lineRule="auto"/>
        <w:jc w:val="center"/>
        <w:rPr>
          <w:rFonts w:ascii="华文新魏" w:hAnsi="Times New Roman" w:eastAsia="华文新魏" w:cs="华文新魏"/>
          <w:b/>
          <w:bCs/>
          <w:color w:val="auto"/>
          <w:spacing w:val="20"/>
          <w:kern w:val="10"/>
          <w:sz w:val="36"/>
          <w:szCs w:val="36"/>
        </w:rPr>
      </w:pPr>
      <w:bookmarkStart w:id="0" w:name="OLE_LINK2"/>
    </w:p>
    <w:p>
      <w:pPr>
        <w:spacing w:line="360" w:lineRule="auto"/>
        <w:jc w:val="center"/>
        <w:rPr>
          <w:rFonts w:hint="default" w:ascii="华文新魏" w:hAnsi="Times New Roman" w:eastAsia="华文新魏" w:cs="华文新魏"/>
          <w:b/>
          <w:bCs/>
          <w:color w:val="auto"/>
          <w:spacing w:val="20"/>
          <w:kern w:val="10"/>
          <w:sz w:val="36"/>
          <w:szCs w:val="36"/>
          <w:lang w:val="en-US" w:eastAsia="zh-CN"/>
        </w:rPr>
      </w:pPr>
      <w:r>
        <w:rPr>
          <w:rFonts w:hint="eastAsia" w:ascii="华文新魏" w:hAnsi="Times New Roman" w:eastAsia="华文新魏" w:cs="华文新魏"/>
          <w:b/>
          <w:bCs/>
          <w:color w:val="auto"/>
          <w:spacing w:val="20"/>
          <w:kern w:val="10"/>
          <w:sz w:val="36"/>
          <w:szCs w:val="36"/>
        </w:rPr>
        <w:t>项目编号：</w:t>
      </w:r>
      <w:r>
        <w:rPr>
          <w:rFonts w:hint="eastAsia" w:ascii="华文新魏" w:hAnsi="Times New Roman" w:eastAsia="华文新魏" w:cs="华文新魏"/>
          <w:b/>
          <w:bCs/>
          <w:color w:val="auto"/>
          <w:spacing w:val="20"/>
          <w:kern w:val="10"/>
          <w:sz w:val="36"/>
          <w:szCs w:val="36"/>
          <w:lang w:val="en-US" w:eastAsia="zh-CN"/>
        </w:rPr>
        <w:t>GXNNJSXY2023024JW02A</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w:t>
      </w:r>
      <w:r>
        <w:rPr>
          <w:rFonts w:hint="eastAsia" w:eastAsia="黑体"/>
          <w:sz w:val="40"/>
          <w:szCs w:val="40"/>
          <w:lang w:val="en-US" w:eastAsia="zh-CN"/>
        </w:rPr>
        <w:t>3</w:t>
      </w:r>
      <w:r>
        <w:rPr>
          <w:rFonts w:hint="eastAsia" w:eastAsia="黑体" w:cs="黑体"/>
          <w:sz w:val="40"/>
          <w:szCs w:val="40"/>
        </w:rPr>
        <w:t>年</w:t>
      </w:r>
      <w:r>
        <w:rPr>
          <w:rFonts w:hint="eastAsia" w:eastAsia="黑体"/>
          <w:sz w:val="40"/>
          <w:szCs w:val="40"/>
          <w:lang w:val="en-US" w:eastAsia="zh-CN"/>
        </w:rPr>
        <w:t>10</w:t>
      </w:r>
      <w:r>
        <w:rPr>
          <w:rFonts w:hint="eastAsia" w:eastAsia="黑体" w:cs="黑体"/>
          <w:sz w:val="40"/>
          <w:szCs w:val="40"/>
        </w:rPr>
        <w:t>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40"/>
          <w:szCs w:val="40"/>
        </w:rPr>
      </w:pPr>
      <w:r>
        <w:rPr>
          <w:rFonts w:hint="eastAsia" w:ascii="黑体" w:eastAsia="黑体" w:cs="黑体"/>
          <w:b/>
          <w:bCs/>
          <w:sz w:val="40"/>
          <w:szCs w:val="40"/>
        </w:rPr>
        <w:t>目　录</w:t>
      </w:r>
    </w:p>
    <w:p>
      <w:pPr>
        <w:pStyle w:val="23"/>
        <w:keepNext w:val="0"/>
        <w:keepLines w:val="0"/>
        <w:pageBreakBefore w:val="0"/>
        <w:widowControl w:val="0"/>
        <w:tabs>
          <w:tab w:val="right" w:leader="dot" w:pos="8306"/>
          <w:tab w:val="clear" w:pos="8299"/>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TOC \o "1-1" \h \u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HYPERLINK \l _Toc22334 </w:instrText>
      </w:r>
      <w:r>
        <w:rPr>
          <w:rFonts w:ascii="宋体" w:hAnsi="宋体"/>
          <w:sz w:val="28"/>
          <w:szCs w:val="28"/>
        </w:rPr>
        <w:fldChar w:fldCharType="separate"/>
      </w:r>
      <w:r>
        <w:rPr>
          <w:rFonts w:hint="eastAsia"/>
          <w:sz w:val="28"/>
          <w:szCs w:val="28"/>
        </w:rPr>
        <w:t>第一章</w:t>
      </w:r>
      <w:r>
        <w:rPr>
          <w:sz w:val="28"/>
          <w:szCs w:val="28"/>
        </w:rPr>
        <w:t xml:space="preserve">  </w:t>
      </w:r>
      <w:r>
        <w:rPr>
          <w:rFonts w:hint="eastAsia"/>
          <w:sz w:val="28"/>
          <w:szCs w:val="28"/>
        </w:rPr>
        <w:t>询价</w:t>
      </w:r>
      <w:r>
        <w:rPr>
          <w:rFonts w:hint="eastAsia"/>
          <w:sz w:val="28"/>
          <w:szCs w:val="28"/>
          <w:lang w:val="en-US" w:eastAsia="zh-CN"/>
        </w:rPr>
        <w:t>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rFonts w:ascii="宋体" w:hAnsi="宋体"/>
          <w:sz w:val="28"/>
          <w:szCs w:val="28"/>
        </w:rPr>
        <w:fldChar w:fldCharType="end"/>
      </w:r>
    </w:p>
    <w:p>
      <w:pPr>
        <w:pStyle w:val="23"/>
        <w:keepNext w:val="0"/>
        <w:keepLines w:val="0"/>
        <w:pageBreakBefore w:val="0"/>
        <w:widowControl w:val="0"/>
        <w:tabs>
          <w:tab w:val="right" w:leader="dot" w:pos="8306"/>
          <w:tab w:val="clear" w:pos="8299"/>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_Toc10615 </w:instrText>
      </w:r>
      <w:r>
        <w:rPr>
          <w:rFonts w:ascii="宋体" w:hAnsi="宋体"/>
          <w:sz w:val="28"/>
          <w:szCs w:val="28"/>
        </w:rP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rFonts w:ascii="宋体" w:hAnsi="宋体"/>
          <w:sz w:val="28"/>
          <w:szCs w:val="28"/>
        </w:rPr>
        <w:fldChar w:fldCharType="end"/>
      </w:r>
    </w:p>
    <w:p>
      <w:pPr>
        <w:pStyle w:val="23"/>
        <w:keepNext w:val="0"/>
        <w:keepLines w:val="0"/>
        <w:pageBreakBefore w:val="0"/>
        <w:widowControl w:val="0"/>
        <w:tabs>
          <w:tab w:val="right" w:leader="dot" w:pos="8306"/>
          <w:tab w:val="clear" w:pos="8299"/>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_Toc31253 </w:instrText>
      </w:r>
      <w:r>
        <w:rPr>
          <w:rFonts w:ascii="宋体" w:hAnsi="宋体"/>
          <w:sz w:val="28"/>
          <w:szCs w:val="28"/>
        </w:rP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14</w:t>
      </w:r>
      <w:r>
        <w:rPr>
          <w:sz w:val="28"/>
          <w:szCs w:val="28"/>
        </w:rPr>
        <w:fldChar w:fldCharType="end"/>
      </w:r>
      <w:r>
        <w:rPr>
          <w:rFonts w:ascii="宋体" w:hAnsi="宋体"/>
          <w:sz w:val="28"/>
          <w:szCs w:val="28"/>
        </w:rPr>
        <w:fldChar w:fldCharType="end"/>
      </w:r>
    </w:p>
    <w:p>
      <w:pPr>
        <w:pStyle w:val="23"/>
        <w:keepNext w:val="0"/>
        <w:keepLines w:val="0"/>
        <w:pageBreakBefore w:val="0"/>
        <w:widowControl w:val="0"/>
        <w:tabs>
          <w:tab w:val="right" w:leader="dot" w:pos="8306"/>
          <w:tab w:val="clear" w:pos="8299"/>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_Toc4423 </w:instrText>
      </w:r>
      <w:r>
        <w:rPr>
          <w:rFonts w:ascii="宋体" w:hAnsi="宋体"/>
          <w:sz w:val="28"/>
          <w:szCs w:val="28"/>
        </w:rP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25</w:t>
      </w:r>
      <w:r>
        <w:rPr>
          <w:sz w:val="28"/>
          <w:szCs w:val="28"/>
        </w:rPr>
        <w:fldChar w:fldCharType="end"/>
      </w:r>
      <w:r>
        <w:rPr>
          <w:rFonts w:ascii="宋体" w:hAnsi="宋体"/>
          <w:sz w:val="28"/>
          <w:szCs w:val="28"/>
        </w:rPr>
        <w:fldChar w:fldCharType="end"/>
      </w:r>
    </w:p>
    <w:p>
      <w:pPr>
        <w:pStyle w:val="23"/>
        <w:keepNext w:val="0"/>
        <w:keepLines w:val="0"/>
        <w:pageBreakBefore w:val="0"/>
        <w:widowControl w:val="0"/>
        <w:tabs>
          <w:tab w:val="right" w:leader="dot" w:pos="8306"/>
          <w:tab w:val="clear" w:pos="8299"/>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_Toc30130 </w:instrText>
      </w:r>
      <w:r>
        <w:rPr>
          <w:rFonts w:ascii="宋体" w:hAnsi="宋体"/>
          <w:sz w:val="28"/>
          <w:szCs w:val="28"/>
        </w:rP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26</w:t>
      </w:r>
      <w:r>
        <w:rPr>
          <w:sz w:val="28"/>
          <w:szCs w:val="28"/>
        </w:rPr>
        <w:fldChar w:fldCharType="end"/>
      </w:r>
      <w:r>
        <w:rPr>
          <w:rFonts w:ascii="宋体" w:hAnsi="宋体"/>
          <w:sz w:val="28"/>
          <w:szCs w:val="28"/>
        </w:rPr>
        <w:fldChar w:fldCharType="end"/>
      </w:r>
    </w:p>
    <w:p>
      <w:pPr>
        <w:pStyle w:val="34"/>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ascii="宋体" w:hAnsi="宋体"/>
          <w:sz w:val="36"/>
          <w:szCs w:val="36"/>
        </w:rPr>
      </w:pPr>
      <w:r>
        <w:rPr>
          <w:rFonts w:ascii="宋体" w:hAnsi="宋体"/>
          <w:sz w:val="28"/>
          <w:szCs w:val="28"/>
        </w:rPr>
        <w:fldChar w:fldCharType="end"/>
      </w:r>
    </w:p>
    <w:p>
      <w:pPr>
        <w:pStyle w:val="34"/>
        <w:ind w:left="0" w:leftChars="0" w:firstLine="0" w:firstLineChars="0"/>
        <w:jc w:val="left"/>
        <w:rPr>
          <w:rFonts w:ascii="宋体" w:hAnsi="宋体"/>
          <w:sz w:val="28"/>
          <w:szCs w:val="28"/>
        </w:rPr>
      </w:pPr>
      <w:r>
        <w:rPr>
          <w:rFonts w:ascii="宋体" w:hAnsi="宋体"/>
          <w:sz w:val="28"/>
          <w:szCs w:val="28"/>
        </w:rPr>
        <w:br w:type="column"/>
      </w:r>
    </w:p>
    <w:p>
      <w:pPr>
        <w:pStyle w:val="3"/>
        <w:bidi w:val="0"/>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w:t>
      </w:r>
      <w:r>
        <w:rPr>
          <w:rFonts w:hint="eastAsia"/>
          <w:sz w:val="36"/>
          <w:szCs w:val="36"/>
          <w:lang w:val="en-US" w:eastAsia="zh-CN"/>
        </w:rPr>
        <w:t>公告</w:t>
      </w:r>
      <w:bookmarkEnd w:id="1"/>
    </w:p>
    <w:p>
      <w:pPr>
        <w:spacing w:line="360" w:lineRule="auto"/>
        <w:ind w:firstLine="420" w:firstLineChars="200"/>
        <w:jc w:val="left"/>
        <w:rPr>
          <w:rFonts w:ascii="宋体" w:hAnsi="宋体"/>
          <w:color w:val="auto"/>
          <w:sz w:val="28"/>
          <w:szCs w:val="28"/>
        </w:rPr>
      </w:pPr>
      <w:r>
        <w:rPr>
          <w:rFonts w:hint="eastAsia" w:ascii="宋体" w:hAnsi="宋体" w:cs="宋体"/>
          <w:kern w:val="28"/>
        </w:rPr>
        <w:t>广西南宁技师学院（以下简称“采购人”）对广西南宁技师学院</w:t>
      </w:r>
      <w:r>
        <w:rPr>
          <w:rFonts w:hint="eastAsia" w:ascii="宋体" w:hAnsi="宋体" w:cs="宋体"/>
          <w:color w:val="auto"/>
          <w:kern w:val="28"/>
          <w:lang w:val="en-US" w:eastAsia="zh-CN"/>
        </w:rPr>
        <w:t>2023年秋季学期体育教学用品</w:t>
      </w:r>
      <w:r>
        <w:rPr>
          <w:rFonts w:hint="eastAsia" w:ascii="宋体" w:hAnsi="宋体" w:cs="宋体"/>
          <w:color w:val="auto"/>
          <w:kern w:val="28"/>
        </w:rPr>
        <w:t>采购项目以询价方式采购，欢迎符合资格条件的供应商参加。</w:t>
      </w:r>
    </w:p>
    <w:p>
      <w:pPr>
        <w:numPr>
          <w:ilvl w:val="0"/>
          <w:numId w:val="1"/>
        </w:numPr>
        <w:spacing w:line="360" w:lineRule="auto"/>
        <w:ind w:firstLine="420" w:firstLineChars="200"/>
        <w:rPr>
          <w:rFonts w:ascii="宋体" w:hAnsi="宋体" w:eastAsia="宋体" w:cs="宋体"/>
          <w:color w:val="auto"/>
          <w:sz w:val="24"/>
          <w:szCs w:val="24"/>
        </w:rPr>
      </w:pPr>
      <w:r>
        <w:rPr>
          <w:rFonts w:hint="eastAsia" w:ascii="宋体" w:hAnsi="宋体" w:cs="宋体"/>
          <w:color w:val="auto"/>
          <w:kern w:val="28"/>
        </w:rPr>
        <w:t>采购项目编号：GXNNJSXY2023024JW02A</w:t>
      </w:r>
    </w:p>
    <w:p>
      <w:pPr>
        <w:numPr>
          <w:ilvl w:val="0"/>
          <w:numId w:val="1"/>
        </w:numPr>
        <w:spacing w:line="360" w:lineRule="auto"/>
        <w:ind w:firstLine="420" w:firstLineChars="200"/>
        <w:rPr>
          <w:rFonts w:ascii="宋体" w:hAnsi="宋体"/>
          <w:color w:val="auto"/>
          <w:kern w:val="28"/>
        </w:rPr>
      </w:pPr>
      <w:r>
        <w:rPr>
          <w:rFonts w:hint="eastAsia" w:ascii="宋体" w:hAnsi="宋体" w:cs="宋体"/>
          <w:color w:val="auto"/>
          <w:kern w:val="28"/>
        </w:rPr>
        <w:t>二、项目名称：广西南宁技师学院</w:t>
      </w:r>
      <w:r>
        <w:rPr>
          <w:rFonts w:hint="eastAsia" w:ascii="宋体" w:hAnsi="宋体" w:cs="宋体"/>
          <w:color w:val="auto"/>
          <w:kern w:val="28"/>
          <w:lang w:val="en-US" w:eastAsia="zh-CN"/>
        </w:rPr>
        <w:t>2023年秋季学期体育教学用品</w:t>
      </w:r>
      <w:r>
        <w:rPr>
          <w:rFonts w:hint="eastAsia" w:ascii="宋体" w:hAnsi="宋体" w:cs="宋体"/>
          <w:color w:val="auto"/>
          <w:kern w:val="28"/>
        </w:rPr>
        <w:t>采购项目</w:t>
      </w:r>
    </w:p>
    <w:p>
      <w:pPr>
        <w:spacing w:line="360" w:lineRule="auto"/>
        <w:ind w:firstLine="420" w:firstLineChars="200"/>
        <w:rPr>
          <w:rFonts w:ascii="宋体" w:hAnsi="宋体"/>
          <w:color w:val="auto"/>
          <w:kern w:val="28"/>
        </w:rPr>
      </w:pPr>
      <w:r>
        <w:rPr>
          <w:rFonts w:hint="eastAsia" w:ascii="宋体" w:hAnsi="宋体" w:cs="宋体"/>
          <w:color w:val="auto"/>
          <w:kern w:val="28"/>
        </w:rPr>
        <w:t>三、采购预算：</w:t>
      </w:r>
      <w:r>
        <w:rPr>
          <w:rFonts w:ascii="宋体" w:hAnsi="宋体"/>
          <w:color w:val="auto"/>
          <w:kern w:val="28"/>
        </w:rPr>
        <w:t xml:space="preserve"> </w:t>
      </w:r>
      <w:r>
        <w:rPr>
          <w:rFonts w:ascii="宋体" w:hAnsi="宋体"/>
          <w:color w:val="auto"/>
          <w:kern w:val="28"/>
          <w:u w:val="single"/>
        </w:rPr>
        <w:t xml:space="preserve"> </w:t>
      </w:r>
      <w:r>
        <w:rPr>
          <w:rFonts w:hint="eastAsia" w:ascii="宋体" w:hAnsi="宋体"/>
          <w:color w:val="auto"/>
          <w:kern w:val="28"/>
          <w:u w:val="single"/>
        </w:rPr>
        <w:t>￥</w:t>
      </w:r>
      <w:r>
        <w:rPr>
          <w:rFonts w:hint="eastAsia" w:ascii="宋体" w:hAnsi="宋体"/>
          <w:color w:val="auto"/>
          <w:kern w:val="28"/>
          <w:u w:val="single"/>
          <w:lang w:val="en-US" w:eastAsia="zh-CN"/>
        </w:rPr>
        <w:t>99924.00</w:t>
      </w:r>
      <w:r>
        <w:rPr>
          <w:rFonts w:ascii="宋体" w:hAnsi="宋体"/>
          <w:color w:val="auto"/>
          <w:kern w:val="28"/>
          <w:u w:val="single"/>
        </w:rPr>
        <w:t xml:space="preserve"> </w:t>
      </w:r>
      <w:r>
        <w:rPr>
          <w:rFonts w:hint="eastAsia" w:ascii="宋体" w:hAnsi="宋体" w:cs="宋体"/>
          <w:color w:val="auto"/>
        </w:rPr>
        <w:t>元</w:t>
      </w:r>
      <w:bookmarkStart w:id="105" w:name="_GoBack"/>
      <w:bookmarkEnd w:id="105"/>
    </w:p>
    <w:p>
      <w:pPr>
        <w:autoSpaceDE w:val="0"/>
        <w:autoSpaceDN w:val="0"/>
        <w:adjustRightInd w:val="0"/>
        <w:snapToGrid w:val="0"/>
        <w:spacing w:line="360" w:lineRule="auto"/>
        <w:ind w:firstLine="420" w:firstLineChars="200"/>
        <w:rPr>
          <w:rFonts w:hint="eastAsia"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34"/>
        <w:ind w:firstLine="420" w:firstLineChars="200"/>
        <w:rPr>
          <w:rFonts w:hint="default" w:eastAsia="宋体"/>
          <w:lang w:val="en-US" w:eastAsia="zh-CN"/>
        </w:rPr>
      </w:pPr>
      <w:r>
        <w:rPr>
          <w:rFonts w:hint="eastAsia" w:ascii="宋体" w:hAnsi="宋体" w:cs="宋体"/>
          <w:lang w:val="en-US" w:eastAsia="zh-CN"/>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lang w:val="en-US" w:eastAsia="zh-CN"/>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lang w:val="en-US" w:eastAsia="zh-CN"/>
        </w:rPr>
        <w:t>1.</w:t>
      </w:r>
      <w:r>
        <w:rPr>
          <w:rFonts w:hint="eastAsia" w:ascii="宋体" w:hAnsi="宋体" w:cs="宋体"/>
        </w:rPr>
        <w:t>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lang w:val="en-US" w:eastAsia="zh-CN"/>
        </w:rPr>
        <w:t>2.</w:t>
      </w:r>
      <w:r>
        <w:rPr>
          <w:rFonts w:hint="eastAsia" w:ascii="宋体" w:hAnsi="宋体"/>
        </w:rPr>
        <w:t>使用</w:t>
      </w:r>
      <w:r>
        <w:rPr>
          <w:rFonts w:hint="eastAsia" w:ascii="宋体" w:hAnsi="宋体"/>
          <w:highlight w:val="none"/>
        </w:rPr>
        <w:t>财政性资金</w:t>
      </w:r>
      <w:r>
        <w:rPr>
          <w:rFonts w:hint="eastAsia" w:ascii="宋体" w:hAnsi="宋体"/>
        </w:rPr>
        <w:t>，但本项目采购内容为集中采购目录以外且采购限额标准以下，不纳入政府采购管理范围，由采购人按本单位的内控制度自行采购。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lang w:val="en-US" w:eastAsia="zh-CN"/>
        </w:rPr>
        <w:t>3.</w:t>
      </w:r>
      <w:r>
        <w:rPr>
          <w:rFonts w:hint="eastAsia" w:ascii="宋体" w:hAnsi="宋体" w:cs="宋体"/>
        </w:rPr>
        <w:t>本项目不允许提交备选方案。</w:t>
      </w:r>
    </w:p>
    <w:p>
      <w:pPr>
        <w:adjustRightInd w:val="0"/>
        <w:snapToGrid w:val="0"/>
        <w:spacing w:line="360" w:lineRule="auto"/>
        <w:ind w:firstLine="420" w:firstLineChars="200"/>
        <w:rPr>
          <w:rFonts w:ascii="宋体" w:hAnsi="宋体"/>
        </w:rPr>
      </w:pPr>
      <w:r>
        <w:rPr>
          <w:rFonts w:hint="eastAsia" w:ascii="宋体" w:hAnsi="宋体" w:cs="宋体"/>
          <w:lang w:val="en-US" w:eastAsia="zh-CN"/>
        </w:rPr>
        <w:t>七</w:t>
      </w:r>
      <w:r>
        <w:rPr>
          <w:rFonts w:hint="eastAsia" w:ascii="宋体" w:hAnsi="宋体" w:cs="宋体"/>
        </w:rPr>
        <w:t>、供应商资格条件：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w:t>
      </w:r>
      <w:r>
        <w:rPr>
          <w:rFonts w:hint="eastAsia" w:ascii="宋体" w:hAnsi="宋体" w:cs="宋体"/>
          <w:lang w:val="en-US" w:eastAsia="zh-CN"/>
        </w:rPr>
        <w:t>.</w:t>
      </w:r>
      <w:r>
        <w:rPr>
          <w:rFonts w:hint="eastAsia" w:ascii="宋体" w:hAnsi="宋体" w:cs="宋体"/>
        </w:rPr>
        <w:t>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w:t>
      </w:r>
      <w:r>
        <w:rPr>
          <w:rFonts w:hint="eastAsia" w:ascii="宋体" w:hAnsi="宋体" w:cs="宋体"/>
          <w:kern w:val="28"/>
          <w:lang w:val="en-US" w:eastAsia="zh-CN"/>
        </w:rPr>
        <w:t>.</w:t>
      </w:r>
      <w:r>
        <w:rPr>
          <w:rFonts w:hint="eastAsia" w:ascii="宋体" w:hAnsi="宋体" w:cs="宋体"/>
          <w:kern w:val="28"/>
        </w:rPr>
        <w:t>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ind w:firstLine="420" w:firstLineChars="200"/>
        <w:rPr>
          <w:rFonts w:hint="default" w:ascii="宋体" w:hAnsi="宋体"/>
          <w:color w:val="auto"/>
          <w:szCs w:val="21"/>
          <w:highlight w:val="none"/>
          <w:lang w:val="en-US"/>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p>
    <w:p>
      <w:pPr>
        <w:spacing w:line="360" w:lineRule="auto"/>
        <w:ind w:firstLine="420" w:firstLineChars="200"/>
        <w:rPr>
          <w:rFonts w:hint="eastAsia" w:ascii="宋体" w:hAnsi="宋体"/>
          <w:color w:val="000000"/>
          <w:szCs w:val="21"/>
        </w:rPr>
      </w:pPr>
      <w:r>
        <w:rPr>
          <w:rFonts w:hint="eastAsia" w:ascii="宋体" w:hAnsi="宋体"/>
          <w:color w:val="000000"/>
          <w:szCs w:val="21"/>
        </w:rPr>
        <w:t>4. 本项目的特定条件：无</w:t>
      </w:r>
    </w:p>
    <w:p>
      <w:pPr>
        <w:widowControl/>
        <w:spacing w:line="360" w:lineRule="auto"/>
        <w:ind w:firstLine="420" w:firstLineChars="200"/>
        <w:rPr>
          <w:rFonts w:ascii="宋体" w:hAnsi="宋体"/>
          <w:kern w:val="28"/>
        </w:rPr>
      </w:pPr>
      <w:r>
        <w:rPr>
          <w:rFonts w:hint="eastAsia" w:ascii="宋体" w:hAnsi="宋体" w:cs="宋体"/>
          <w:kern w:val="28"/>
          <w:lang w:val="en-US" w:eastAsia="zh-CN"/>
        </w:rPr>
        <w:t>5.</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hint="eastAsia" w:ascii="宋体" w:hAnsi="宋体" w:cs="宋体"/>
          <w:kern w:val="28"/>
          <w:lang w:val="en-US" w:eastAsia="zh-CN"/>
        </w:rPr>
        <w:t>6.</w:t>
      </w:r>
      <w:r>
        <w:rPr>
          <w:rFonts w:hint="eastAsia" w:ascii="宋体" w:hAnsi="宋体"/>
          <w:color w:val="000000"/>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olor w:val="000000"/>
          <w:szCs w:val="21"/>
          <w:lang w:val="en-US" w:eastAsia="zh-CN"/>
        </w:rPr>
        <w:t>本次</w:t>
      </w:r>
      <w:r>
        <w:rPr>
          <w:rFonts w:hint="eastAsia" w:ascii="宋体" w:hAnsi="宋体"/>
          <w:color w:val="000000"/>
          <w:szCs w:val="21"/>
        </w:rPr>
        <w:t>采购活动</w:t>
      </w:r>
    </w:p>
    <w:p>
      <w:pPr>
        <w:widowControl/>
        <w:tabs>
          <w:tab w:val="left" w:pos="420"/>
          <w:tab w:val="left" w:pos="525"/>
          <w:tab w:val="left" w:pos="9639"/>
        </w:tabs>
        <w:spacing w:line="360" w:lineRule="auto"/>
        <w:ind w:right="-6" w:rightChars="-3" w:firstLine="420" w:firstLineChars="200"/>
        <w:jc w:val="left"/>
        <w:rPr>
          <w:rFonts w:ascii="宋体" w:hAnsi="宋体"/>
          <w:color w:val="auto"/>
        </w:rPr>
      </w:pPr>
      <w:r>
        <w:rPr>
          <w:rFonts w:hint="eastAsia" w:ascii="宋体" w:hAnsi="宋体" w:cs="宋体"/>
          <w:lang w:val="en-US" w:eastAsia="zh-CN"/>
        </w:rPr>
        <w:t>7.</w:t>
      </w:r>
      <w:r>
        <w:rPr>
          <w:rFonts w:hint="eastAsia" w:ascii="宋体" w:hAnsi="宋体" w:cs="宋体"/>
        </w:rPr>
        <w:t>本项目不接受联合体投标</w:t>
      </w:r>
    </w:p>
    <w:p>
      <w:pPr>
        <w:adjustRightInd w:val="0"/>
        <w:snapToGrid w:val="0"/>
        <w:spacing w:line="360" w:lineRule="auto"/>
        <w:ind w:firstLine="420" w:firstLineChars="200"/>
        <w:rPr>
          <w:rFonts w:ascii="宋体" w:hAnsi="宋体"/>
          <w:color w:val="auto"/>
          <w:highlight w:val="none"/>
        </w:rPr>
      </w:pPr>
      <w:r>
        <w:rPr>
          <w:rFonts w:hint="eastAsia" w:ascii="宋体" w:hAnsi="宋体" w:cs="宋体"/>
          <w:color w:val="auto"/>
          <w:lang w:val="en-US" w:eastAsia="zh-CN"/>
        </w:rPr>
        <w:t>八</w:t>
      </w:r>
      <w:r>
        <w:rPr>
          <w:rFonts w:hint="eastAsia" w:ascii="宋体" w:hAnsi="宋体" w:cs="宋体"/>
          <w:color w:val="auto"/>
        </w:rPr>
        <w:t>、响应文件递交截止时间：2023年</w:t>
      </w:r>
      <w:r>
        <w:rPr>
          <w:rFonts w:ascii="宋体" w:hAnsi="宋体" w:cs="宋体"/>
          <w:color w:val="auto"/>
        </w:rPr>
        <w:t>10</w:t>
      </w:r>
      <w:r>
        <w:rPr>
          <w:rFonts w:hint="eastAsia" w:ascii="宋体" w:hAnsi="宋体" w:cs="宋体"/>
          <w:color w:val="auto"/>
        </w:rPr>
        <w:t>月</w:t>
      </w:r>
      <w:r>
        <w:rPr>
          <w:rFonts w:hint="eastAsia" w:ascii="宋体" w:hAnsi="宋体" w:cs="宋体"/>
          <w:color w:val="auto"/>
          <w:lang w:val="en-US" w:eastAsia="zh-CN"/>
        </w:rPr>
        <w:t>25</w:t>
      </w:r>
      <w:r>
        <w:rPr>
          <w:rFonts w:hint="eastAsia" w:ascii="宋体" w:hAnsi="宋体" w:cs="宋体"/>
          <w:color w:val="auto"/>
        </w:rPr>
        <w:t>日</w:t>
      </w:r>
      <w:r>
        <w:rPr>
          <w:rFonts w:hint="eastAsia" w:ascii="宋体" w:hAnsi="宋体" w:cs="宋体"/>
          <w:color w:val="auto"/>
          <w:lang w:val="en-US" w:eastAsia="zh-CN"/>
        </w:rPr>
        <w:t>上</w:t>
      </w:r>
      <w:r>
        <w:rPr>
          <w:rFonts w:hint="eastAsia" w:ascii="宋体" w:hAnsi="宋体" w:cs="宋体"/>
          <w:color w:val="auto"/>
        </w:rPr>
        <w:t>午</w:t>
      </w:r>
      <w:r>
        <w:rPr>
          <w:rFonts w:ascii="宋体" w:hAnsi="宋体" w:cs="宋体"/>
          <w:color w:val="auto"/>
        </w:rPr>
        <w:t>1</w:t>
      </w:r>
      <w:r>
        <w:rPr>
          <w:rFonts w:hint="eastAsia" w:ascii="宋体" w:hAnsi="宋体" w:cs="宋体"/>
          <w:color w:val="auto"/>
          <w:lang w:val="en-US" w:eastAsia="zh-CN"/>
        </w:rPr>
        <w:t>0</w:t>
      </w:r>
      <w:r>
        <w:rPr>
          <w:rFonts w:ascii="宋体" w:hAnsi="宋体" w:cs="宋体"/>
          <w:color w:val="auto"/>
        </w:rPr>
        <w:t>:00</w:t>
      </w:r>
      <w:r>
        <w:rPr>
          <w:rFonts w:hint="eastAsia" w:ascii="宋体" w:hAnsi="宋体" w:cs="宋体"/>
          <w:color w:val="auto"/>
          <w:highlight w:val="none"/>
        </w:rPr>
        <w:t>。</w:t>
      </w:r>
    </w:p>
    <w:p>
      <w:pPr>
        <w:adjustRightInd w:val="0"/>
        <w:snapToGrid w:val="0"/>
        <w:spacing w:line="360" w:lineRule="auto"/>
        <w:ind w:firstLine="420" w:firstLineChars="200"/>
        <w:rPr>
          <w:rFonts w:ascii="宋体" w:hAnsi="宋体"/>
          <w:color w:val="auto"/>
        </w:rPr>
      </w:pPr>
      <w:r>
        <w:rPr>
          <w:rFonts w:hint="eastAsia" w:ascii="宋体" w:hAnsi="宋体" w:cs="宋体"/>
          <w:color w:val="auto"/>
          <w:lang w:val="en-US" w:eastAsia="zh-CN"/>
        </w:rPr>
        <w:t>九</w:t>
      </w:r>
      <w:r>
        <w:rPr>
          <w:rFonts w:hint="eastAsia" w:ascii="宋体" w:hAnsi="宋体" w:cs="宋体"/>
          <w:color w:val="auto"/>
        </w:rPr>
        <w:t>、响应文件</w:t>
      </w:r>
      <w:r>
        <w:rPr>
          <w:rFonts w:hint="eastAsia" w:ascii="宋体" w:hAnsi="宋体" w:cs="宋体"/>
          <w:color w:val="auto"/>
          <w:lang w:val="zh-CN"/>
        </w:rPr>
        <w:t>递交</w:t>
      </w:r>
      <w:r>
        <w:rPr>
          <w:rFonts w:hint="eastAsia" w:ascii="宋体" w:hAnsi="宋体" w:cs="宋体"/>
          <w:color w:val="auto"/>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十、联系事项</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联系地址：南宁市大学西路157号</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联系人：</w:t>
      </w:r>
      <w:r>
        <w:rPr>
          <w:rFonts w:hint="eastAsia" w:ascii="宋体" w:hAnsi="宋体" w:cs="宋体"/>
          <w:color w:val="auto"/>
          <w:lang w:val="en-US" w:eastAsia="zh-CN"/>
        </w:rPr>
        <w:t>刘</w:t>
      </w:r>
      <w:r>
        <w:rPr>
          <w:rFonts w:hint="eastAsia" w:ascii="宋体" w:hAnsi="宋体" w:cs="宋体"/>
          <w:color w:val="auto"/>
        </w:rPr>
        <w:t>老师，联系电话：07</w:t>
      </w:r>
      <w:r>
        <w:rPr>
          <w:rFonts w:ascii="宋体" w:hAnsi="宋体" w:cs="宋体"/>
          <w:color w:val="auto"/>
        </w:rPr>
        <w:t>71</w:t>
      </w:r>
      <w:r>
        <w:rPr>
          <w:rFonts w:hint="eastAsia" w:ascii="宋体" w:hAnsi="宋体" w:cs="宋体"/>
          <w:color w:val="auto"/>
        </w:rPr>
        <w:t>-</w:t>
      </w:r>
      <w:r>
        <w:rPr>
          <w:rFonts w:ascii="宋体" w:hAnsi="宋体" w:cs="宋体"/>
          <w:color w:val="auto"/>
        </w:rPr>
        <w:t>4928055</w:t>
      </w:r>
    </w:p>
    <w:p>
      <w:pPr>
        <w:adjustRightInd w:val="0"/>
        <w:snapToGrid w:val="0"/>
        <w:spacing w:line="360" w:lineRule="auto"/>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360" w:lineRule="auto"/>
        <w:ind w:right="840" w:firstLine="420" w:firstLineChars="200"/>
        <w:jc w:val="right"/>
        <w:rPr>
          <w:rFonts w:ascii="宋体" w:hAnsi="宋体"/>
          <w:color w:val="auto"/>
        </w:rPr>
      </w:pPr>
      <w:r>
        <w:rPr>
          <w:rFonts w:hint="eastAsia" w:ascii="宋体" w:hAnsi="宋体" w:cs="宋体"/>
          <w:color w:val="auto"/>
        </w:rPr>
        <w:t>发布时间：</w:t>
      </w:r>
      <w:r>
        <w:rPr>
          <w:rFonts w:hint="eastAsia" w:ascii="宋体" w:hAnsi="宋体" w:cs="宋体"/>
          <w:color w:val="auto"/>
          <w:lang w:val="en-US" w:eastAsia="zh-CN"/>
        </w:rPr>
        <w:t xml:space="preserve">  </w:t>
      </w:r>
      <w:r>
        <w:rPr>
          <w:rFonts w:hint="eastAsia" w:ascii="宋体" w:hAnsi="宋体"/>
          <w:color w:val="auto"/>
        </w:rPr>
        <w:t>2023年</w:t>
      </w:r>
      <w:r>
        <w:rPr>
          <w:rFonts w:ascii="宋体" w:hAnsi="宋体"/>
          <w:color w:val="auto"/>
        </w:rPr>
        <w:t>10</w:t>
      </w:r>
      <w:r>
        <w:rPr>
          <w:rFonts w:hint="eastAsia" w:ascii="宋体" w:hAnsi="宋体"/>
          <w:color w:val="auto"/>
        </w:rPr>
        <w:t>月</w:t>
      </w:r>
      <w:r>
        <w:rPr>
          <w:rFonts w:ascii="宋体" w:hAnsi="宋体"/>
          <w:color w:val="auto"/>
        </w:rPr>
        <w:t>1</w:t>
      </w:r>
      <w:r>
        <w:rPr>
          <w:rFonts w:hint="eastAsia" w:ascii="宋体" w:hAnsi="宋体"/>
          <w:color w:val="auto"/>
          <w:lang w:val="en-US" w:eastAsia="zh-CN"/>
        </w:rPr>
        <w:t>9</w:t>
      </w:r>
      <w:r>
        <w:rPr>
          <w:rFonts w:hint="eastAsia" w:ascii="宋体" w:hAnsi="宋体"/>
          <w:color w:val="auto"/>
        </w:rPr>
        <w:t>日</w:t>
      </w:r>
    </w:p>
    <w:p>
      <w:pPr>
        <w:spacing w:line="360" w:lineRule="auto"/>
        <w:ind w:right="840" w:firstLine="420" w:firstLineChars="200"/>
        <w:jc w:val="right"/>
        <w:rPr>
          <w:rFonts w:ascii="宋体" w:hAnsi="宋体"/>
        </w:rPr>
      </w:pPr>
    </w:p>
    <w:p>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center"/>
        <w:rPr>
          <w:rFonts w:hint="eastAsia" w:ascii="黑体" w:eastAsia="黑体" w:cs="黑体"/>
          <w:sz w:val="32"/>
          <w:szCs w:val="32"/>
        </w:rPr>
      </w:pPr>
      <w:bookmarkStart w:id="3" w:name="_Toc23927923"/>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pStyle w:val="3"/>
        <w:bidi w:val="0"/>
        <w:jc w:val="center"/>
        <w:rPr>
          <w:rFonts w:hint="eastAsia"/>
          <w:sz w:val="36"/>
          <w:szCs w:val="36"/>
        </w:rPr>
      </w:pPr>
      <w:bookmarkStart w:id="4" w:name="_Toc10615"/>
    </w:p>
    <w:p>
      <w:pPr>
        <w:pStyle w:val="3"/>
        <w:bidi w:val="0"/>
        <w:jc w:val="center"/>
        <w:rPr>
          <w:rFonts w:hint="eastAsia"/>
          <w:sz w:val="36"/>
          <w:szCs w:val="36"/>
        </w:rPr>
      </w:pPr>
      <w:r>
        <w:rPr>
          <w:rFonts w:hint="eastAsia"/>
          <w:sz w:val="36"/>
          <w:szCs w:val="36"/>
        </w:rPr>
        <w:t>第二章　采购需求书</w:t>
      </w:r>
      <w:bookmarkEnd w:id="4"/>
    </w:p>
    <w:p>
      <w:pPr>
        <w:tabs>
          <w:tab w:val="left" w:pos="420"/>
          <w:tab w:val="left" w:pos="540"/>
          <w:tab w:val="left" w:pos="574"/>
        </w:tabs>
        <w:spacing w:line="360" w:lineRule="auto"/>
        <w:ind w:left="420"/>
        <w:outlineLvl w:val="0"/>
        <w:rPr>
          <w:rFonts w:hint="eastAsia"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color w:val="auto"/>
          <w:u w:val="double"/>
        </w:rPr>
      </w:pPr>
      <w:r>
        <w:rPr>
          <w:rFonts w:hint="eastAsia" w:ascii="宋体" w:hAnsi="宋体" w:cs="宋体"/>
          <w:b/>
          <w:bCs/>
          <w:u w:val="double"/>
        </w:rPr>
        <w:t>本项目最高限价为人民</w:t>
      </w:r>
      <w:r>
        <w:rPr>
          <w:rFonts w:hint="eastAsia" w:ascii="宋体" w:hAnsi="宋体" w:cs="宋体"/>
          <w:b/>
          <w:bCs/>
          <w:color w:val="auto"/>
          <w:u w:val="double"/>
        </w:rPr>
        <w:t>币</w:t>
      </w:r>
      <w:r>
        <w:rPr>
          <w:rFonts w:hint="eastAsia" w:ascii="宋体" w:hAnsi="宋体" w:cs="宋体"/>
          <w:b/>
          <w:bCs/>
          <w:color w:val="auto"/>
          <w:u w:val="double"/>
          <w:lang w:val="en-US" w:eastAsia="zh-CN"/>
        </w:rPr>
        <w:t>99924.00</w:t>
      </w:r>
      <w:r>
        <w:rPr>
          <w:rFonts w:hint="eastAsia" w:ascii="宋体" w:hAnsi="宋体" w:cs="宋体"/>
          <w:b/>
          <w:bCs/>
          <w:color w:val="auto"/>
          <w:u w:val="double"/>
        </w:rPr>
        <w:t>元，供应商的总报价不得超出其最高限价，否则视为无效投标。</w:t>
      </w:r>
    </w:p>
    <w:p>
      <w:pPr>
        <w:pStyle w:val="34"/>
        <w:rPr>
          <w:color w:val="auto"/>
        </w:rPr>
      </w:pP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2.采购需求书中打“</w:t>
      </w:r>
      <w:bookmarkStart w:id="6" w:name="_Hlk42880463"/>
      <w:r>
        <w:rPr>
          <w:rFonts w:hint="eastAsia" w:ascii="宋体" w:hAnsi="Times New Roman" w:cs="宋体"/>
          <w:color w:val="auto"/>
        </w:rPr>
        <w:t>★</w:t>
      </w:r>
      <w:bookmarkEnd w:id="6"/>
      <w:r>
        <w:rPr>
          <w:rFonts w:hint="eastAsia" w:ascii="宋体" w:hAnsi="Times New Roman" w:cs="宋体"/>
          <w:color w:val="auto"/>
        </w:rPr>
        <w:t>”号条款为实质性条款，供应商如有任何一条负偏离则导致投标无效。</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3.使用</w:t>
      </w:r>
      <w:r>
        <w:rPr>
          <w:rFonts w:hint="eastAsia" w:ascii="宋体" w:hAnsi="Times New Roman" w:cs="宋体"/>
          <w:color w:val="auto"/>
          <w:highlight w:val="none"/>
        </w:rPr>
        <w:t>财政性资金，</w:t>
      </w:r>
      <w:r>
        <w:rPr>
          <w:rFonts w:hint="eastAsia" w:ascii="宋体" w:hAnsi="Times New Roman" w:cs="宋体"/>
          <w:color w:val="auto"/>
        </w:rPr>
        <w:t>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color w:val="auto"/>
        </w:rPr>
      </w:pPr>
      <w:bookmarkStart w:id="7" w:name="_Toc18091"/>
      <w:r>
        <w:rPr>
          <w:rFonts w:ascii="宋体" w:hAnsi="宋体" w:cs="宋体"/>
          <w:b/>
          <w:bCs/>
          <w:color w:val="auto"/>
        </w:rPr>
        <w:t>二、</w:t>
      </w:r>
      <w:r>
        <w:rPr>
          <w:rFonts w:hint="eastAsia" w:ascii="宋体" w:hAnsi="宋体" w:cs="宋体"/>
          <w:b/>
          <w:bCs/>
          <w:color w:val="auto"/>
        </w:rPr>
        <w:t>采购内容简述</w:t>
      </w:r>
      <w:bookmarkEnd w:id="7"/>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1.采购内容：详见“四、采购清单”；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2.数量：详见“四、采购清单”；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3.交货期：</w:t>
      </w:r>
      <w:r>
        <w:rPr>
          <w:rFonts w:hint="eastAsia" w:ascii="Times New Roman" w:hAnsi="宋体" w:cs="宋体"/>
          <w:color w:val="auto"/>
        </w:rPr>
        <w:t>合同签订之日</w:t>
      </w:r>
      <w:r>
        <w:rPr>
          <w:rFonts w:hint="eastAsia" w:ascii="Times New Roman" w:hAnsi="宋体" w:cs="宋体"/>
          <w:color w:val="auto"/>
          <w:highlight w:val="none"/>
        </w:rPr>
        <w:t>起</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7</w:t>
      </w:r>
      <w:r>
        <w:rPr>
          <w:rFonts w:ascii="宋体" w:hAnsi="宋体" w:cs="宋体"/>
          <w:color w:val="auto"/>
          <w:highlight w:val="none"/>
          <w:u w:val="single"/>
        </w:rPr>
        <w:t xml:space="preserve"> </w:t>
      </w:r>
      <w:r>
        <w:rPr>
          <w:rFonts w:hint="eastAsia" w:ascii="Times New Roman" w:hAnsi="宋体" w:cs="宋体"/>
          <w:color w:val="auto"/>
          <w:highlight w:val="none"/>
        </w:rPr>
        <w:t>天内</w:t>
      </w:r>
      <w:r>
        <w:rPr>
          <w:rFonts w:hint="eastAsia" w:ascii="Times New Roman" w:hAnsi="宋体" w:cs="宋体"/>
          <w:color w:val="auto"/>
          <w:highlight w:val="none"/>
          <w:lang w:val="en-US" w:eastAsia="zh-CN"/>
        </w:rPr>
        <w:t>送货、</w:t>
      </w:r>
      <w:r>
        <w:rPr>
          <w:rFonts w:hint="eastAsia" w:ascii="Times New Roman" w:hAnsi="宋体" w:cs="宋体"/>
          <w:color w:val="auto"/>
          <w:highlight w:val="none"/>
        </w:rPr>
        <w:t>安</w:t>
      </w:r>
      <w:r>
        <w:rPr>
          <w:rFonts w:hint="eastAsia" w:ascii="Times New Roman" w:hAnsi="宋体" w:cs="宋体"/>
          <w:color w:val="auto"/>
        </w:rPr>
        <w:t>装、调试完毕，并经验收合格后交付使用</w:t>
      </w:r>
      <w:r>
        <w:rPr>
          <w:rFonts w:hint="eastAsia" w:ascii="宋体" w:hAnsi="Times New Roman" w:cs="宋体"/>
          <w:bCs/>
          <w:color w:val="auto"/>
          <w:szCs w:val="20"/>
        </w:rPr>
        <w:t>；</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4.预算金额：人民币</w:t>
      </w:r>
      <w:r>
        <w:rPr>
          <w:rFonts w:ascii="宋体" w:hAnsi="Times New Roman" w:cs="宋体"/>
          <w:bCs/>
          <w:color w:val="auto"/>
          <w:u w:val="single"/>
        </w:rPr>
        <w:t xml:space="preserve">  </w:t>
      </w:r>
      <w:r>
        <w:rPr>
          <w:rFonts w:hint="eastAsia" w:ascii="宋体" w:hAnsi="Times New Roman" w:cs="宋体"/>
          <w:bCs/>
          <w:color w:val="auto"/>
          <w:u w:val="single"/>
          <w:lang w:val="en-US" w:eastAsia="zh-CN"/>
        </w:rPr>
        <w:t>99924.00</w:t>
      </w:r>
      <w:r>
        <w:rPr>
          <w:rFonts w:ascii="宋体" w:hAnsi="Times New Roman" w:cs="宋体"/>
          <w:bCs/>
          <w:color w:val="auto"/>
          <w:u w:val="single"/>
        </w:rPr>
        <w:t xml:space="preserve">  </w:t>
      </w:r>
      <w:r>
        <w:rPr>
          <w:rFonts w:hint="eastAsia" w:ascii="宋体" w:hAnsi="Times New Roman" w:cs="宋体"/>
          <w:bCs/>
          <w:color w:val="auto"/>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color w:val="auto"/>
        </w:rPr>
      </w:pPr>
      <w:bookmarkStart w:id="8" w:name="_Toc9516"/>
      <w:r>
        <w:rPr>
          <w:rFonts w:ascii="宋体" w:hAnsi="宋体" w:cs="宋体"/>
          <w:b/>
          <w:bCs/>
          <w:color w:val="auto"/>
        </w:rPr>
        <w:t>三、</w:t>
      </w:r>
      <w:r>
        <w:rPr>
          <w:rFonts w:hint="eastAsia" w:ascii="宋体" w:hAnsi="宋体" w:cs="宋体"/>
          <w:b/>
          <w:bCs/>
          <w:color w:val="auto"/>
        </w:rPr>
        <w:t>项目概况</w:t>
      </w:r>
      <w:bookmarkEnd w:id="8"/>
    </w:p>
    <w:p>
      <w:pPr>
        <w:widowControl/>
        <w:tabs>
          <w:tab w:val="left" w:pos="424"/>
        </w:tabs>
        <w:spacing w:line="360" w:lineRule="auto"/>
        <w:ind w:firstLine="420" w:firstLineChars="200"/>
        <w:jc w:val="left"/>
        <w:rPr>
          <w:rFonts w:hAnsi="宋体"/>
          <w:color w:val="auto"/>
          <w:kern w:val="28"/>
        </w:rPr>
      </w:pPr>
      <w:r>
        <w:rPr>
          <w:rFonts w:hint="eastAsia" w:ascii="宋体" w:hAnsi="Times New Roman" w:cs="宋体"/>
          <w:color w:val="auto"/>
        </w:rPr>
        <w:t>1.本次招标项目范围：</w:t>
      </w:r>
      <w:r>
        <w:rPr>
          <w:rFonts w:hint="eastAsia" w:ascii="宋体" w:hAnsi="宋体" w:cs="宋体"/>
          <w:color w:val="auto"/>
          <w:kern w:val="28"/>
        </w:rPr>
        <w:t>广西南宁技师学院</w:t>
      </w:r>
      <w:r>
        <w:rPr>
          <w:rFonts w:hint="eastAsia" w:ascii="宋体" w:hAnsi="宋体" w:cs="宋体"/>
          <w:color w:val="auto"/>
          <w:kern w:val="28"/>
          <w:lang w:val="en-US" w:eastAsia="zh-CN"/>
        </w:rPr>
        <w:t>2023年秋季学期体育教学用品</w:t>
      </w:r>
      <w:r>
        <w:rPr>
          <w:rFonts w:hint="eastAsia" w:ascii="宋体" w:hAnsi="宋体" w:cs="宋体"/>
          <w:color w:val="auto"/>
          <w:kern w:val="28"/>
        </w:rPr>
        <w:t>采购项目</w:t>
      </w:r>
      <w:r>
        <w:rPr>
          <w:rFonts w:hint="eastAsia" w:ascii="宋体" w:hAnsi="Times New Roman" w:cs="宋体"/>
          <w:bCs/>
          <w:color w:val="auto"/>
          <w:szCs w:val="20"/>
        </w:rPr>
        <w:t>。</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3.除非征得采购人同意外，成交供应商不得以任何方式转包或分包本项目。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4.供应商应提供已注册品牌制造商原装、全新的、符合国家及用户提出的有关质量标准的货物。</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5.所有货物在开箱检验时必须完好，无破损，配置与装箱单相符，数量、质量及性能不低于本采购需求书中提出的要求。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6.货物外观清洁，标记编号以及盘面显示等字体清晰，明确能够准确无误地表示货物的型号、规格、制造商。</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7</w:t>
      </w:r>
      <w:r>
        <w:rPr>
          <w:rFonts w:hint="eastAsia" w:ascii="宋体" w:hAnsi="Times New Roman" w:cs="宋体"/>
        </w:rPr>
        <w:t>.供应商在供货时，应提供货物清单，若被发现提供的货物未能达到询价文件和报价文件中的有关要求，采购人有权拒绝验收。</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8</w:t>
      </w:r>
      <w:r>
        <w:rPr>
          <w:rFonts w:hint="eastAsia" w:ascii="宋体" w:hAnsi="Times New Roman" w:cs="宋体"/>
        </w:rPr>
        <w:t>.本次投标应为包供货、包装、运输及售后服务的全部内容，成交供应商不得以任何理由向采购人加收其他任何费用。</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9</w:t>
      </w:r>
      <w:r>
        <w:rPr>
          <w:rFonts w:hint="eastAsia" w:ascii="宋体" w:hAnsi="Times New Roman" w:cs="宋体"/>
        </w:rPr>
        <w:t>.供应商所提供货物的数量及参数等不能低于询价文件所提出的要求。</w:t>
      </w:r>
    </w:p>
    <w:p>
      <w:pPr>
        <w:widowControl/>
        <w:tabs>
          <w:tab w:val="left" w:pos="424"/>
        </w:tabs>
        <w:spacing w:line="360" w:lineRule="auto"/>
        <w:ind w:firstLine="420" w:firstLineChars="200"/>
        <w:jc w:val="left"/>
        <w:rPr>
          <w:rFonts w:hint="eastAsia" w:ascii="宋体" w:hAnsi="Times New Roman" w:cs="宋体"/>
        </w:rPr>
      </w:pPr>
      <w:r>
        <w:rPr>
          <w:rFonts w:hint="eastAsia" w:ascii="宋体" w:hAnsi="Times New Roman" w:cs="宋体"/>
        </w:rPr>
        <w:t>★1</w:t>
      </w:r>
      <w:r>
        <w:rPr>
          <w:rFonts w:ascii="宋体" w:hAnsi="Times New Roman" w:cs="宋体"/>
        </w:rPr>
        <w:t>0.</w:t>
      </w:r>
      <w:r>
        <w:rPr>
          <w:rFonts w:hint="eastAsia" w:ascii="宋体" w:hAnsi="Times New Roman" w:cs="宋体"/>
        </w:rPr>
        <w:t>供应商存在无正当理由发生投诉二次（含二次）以上的、一个学期内被给予采购项目质量评价为差评的，将被列入供应商不良行为，供应商若存在不良行为，本单位可终止项目合同，或曝光其不良行为，或禁止该供应商一至三年内不得参与本单位的校内采购活动。</w:t>
      </w:r>
    </w:p>
    <w:p>
      <w:pPr>
        <w:tabs>
          <w:tab w:val="left" w:pos="420"/>
          <w:tab w:val="left" w:pos="540"/>
          <w:tab w:val="left" w:pos="574"/>
        </w:tabs>
        <w:spacing w:line="360" w:lineRule="auto"/>
        <w:ind w:firstLine="211" w:firstLineChars="100"/>
        <w:outlineLvl w:val="0"/>
        <w:rPr>
          <w:rFonts w:ascii="宋体" w:hAnsi="宋体" w:cs="宋体"/>
          <w:b/>
          <w:bCs/>
        </w:rPr>
      </w:pPr>
      <w:r>
        <w:rPr>
          <w:rFonts w:ascii="宋体" w:hAnsi="宋体" w:cs="宋体"/>
          <w:b/>
          <w:bCs/>
        </w:rPr>
        <w:t>四、</w:t>
      </w:r>
      <w:r>
        <w:rPr>
          <w:rFonts w:hint="eastAsia" w:ascii="宋体" w:hAnsi="宋体" w:cs="宋体"/>
          <w:b/>
          <w:bCs/>
        </w:rPr>
        <w:t>采购清单</w:t>
      </w:r>
    </w:p>
    <w:tbl>
      <w:tblPr>
        <w:tblStyle w:val="35"/>
        <w:tblpPr w:leftFromText="180" w:rightFromText="180" w:vertAnchor="text" w:horzAnchor="page" w:tblpX="1635" w:tblpY="465"/>
        <w:tblOverlap w:val="never"/>
        <w:tblW w:w="88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361"/>
        <w:gridCol w:w="1685"/>
        <w:gridCol w:w="1881"/>
        <w:gridCol w:w="761"/>
        <w:gridCol w:w="681"/>
        <w:gridCol w:w="877"/>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4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9" w:name="_Toc32285"/>
            <w:r>
              <w:rPr>
                <w:rFonts w:hint="eastAsia" w:ascii="宋体" w:hAnsi="宋体" w:eastAsia="宋体" w:cs="宋体"/>
                <w:i w:val="0"/>
                <w:iCs w:val="0"/>
                <w:color w:val="000000"/>
                <w:kern w:val="0"/>
                <w:sz w:val="22"/>
                <w:szCs w:val="22"/>
                <w:u w:val="none"/>
                <w:lang w:val="en-US" w:eastAsia="zh-CN" w:bidi="ar"/>
              </w:rPr>
              <w:t>序号</w:t>
            </w:r>
          </w:p>
        </w:tc>
        <w:tc>
          <w:tcPr>
            <w:tcW w:w="136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货物</w:t>
            </w:r>
            <w:r>
              <w:rPr>
                <w:rFonts w:hint="eastAsia" w:ascii="宋体" w:hAnsi="宋体" w:eastAsia="宋体" w:cs="宋体"/>
                <w:b/>
                <w:bCs/>
                <w:i w:val="0"/>
                <w:iCs w:val="0"/>
                <w:color w:val="000000"/>
                <w:kern w:val="0"/>
                <w:sz w:val="22"/>
                <w:szCs w:val="22"/>
                <w:u w:val="none"/>
                <w:lang w:val="en-US" w:eastAsia="zh-CN" w:bidi="ar"/>
              </w:rPr>
              <w:t>名称</w:t>
            </w:r>
          </w:p>
        </w:tc>
        <w:tc>
          <w:tcPr>
            <w:tcW w:w="16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参考品牌</w:t>
            </w:r>
          </w:p>
        </w:tc>
        <w:tc>
          <w:tcPr>
            <w:tcW w:w="18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规格型号及主要技术参数</w:t>
            </w:r>
          </w:p>
        </w:tc>
        <w:tc>
          <w:tcPr>
            <w:tcW w:w="76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7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预算</w:t>
            </w:r>
            <w:r>
              <w:rPr>
                <w:rFonts w:hint="eastAsia" w:ascii="宋体" w:hAnsi="宋体" w:eastAsia="宋体" w:cs="宋体"/>
                <w:b/>
                <w:bCs/>
                <w:i w:val="0"/>
                <w:iCs w:val="0"/>
                <w:color w:val="000000"/>
                <w:kern w:val="0"/>
                <w:sz w:val="22"/>
                <w:szCs w:val="22"/>
                <w:u w:val="none"/>
                <w:lang w:val="en-US" w:eastAsia="zh-CN" w:bidi="ar"/>
              </w:rPr>
              <w:t>单价（元）</w:t>
            </w:r>
          </w:p>
        </w:tc>
        <w:tc>
          <w:tcPr>
            <w:tcW w:w="10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预算</w:t>
            </w: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红双喜402</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球头：再生软木毛、鹅毛，12只/筒</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伟士316</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铝合金框边+钢中管</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1"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气排球</w:t>
            </w:r>
          </w:p>
        </w:tc>
        <w:tc>
          <w:tcPr>
            <w:tcW w:w="168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恒佳HJ100</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材质：PVC、周长：72-74cm</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重量：125g±5g</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斯伯丁76-884Y</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PU比赛专用</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红双喜SH套拍</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两支装</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红双喜赛顶一星</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红双喜赛顶有缝40+，10只装</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骐宏3305</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5米专业竹节大跳绳</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红双喜四星</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7层高绳木材，高密度海绵粘性胶皮</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史莱辛格SLAM102J</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材质：碳铝合金一体、重量：280—330g，宝蓝色SKAM102LJ</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1" w:type="dxa"/>
            <w:vMerge w:val="restar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钉鞋</w:t>
            </w:r>
          </w:p>
        </w:tc>
        <w:tc>
          <w:tcPr>
            <w:tcW w:w="168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多威PD2510</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鞋面：三明治网布+植绒</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鞋底：EVA+橡胶+尼龙头掌</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实心球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恒佳2KG</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2公斤，中考专用球，充气式，球针+网兜</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国标气排球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恒佳FP300</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发泡EVA材质，周长74-75cm，重量135g</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黄银泰</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球头：再生软木毛、鹅毛，12只/筒</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威林顿555</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铝合金框边+钢中管</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乒乓球拍</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双鱼026A</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横拍、直拍各10副</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红双喜赛顶二星</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红双喜赛顶有缝40+，10只装</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哨子</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中亚90</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无核口哨，发音快速，声音尖锐嘹亮，环保树脂材质，40公分挂绳，方便使用</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6"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短跳绳</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赛尔胜219</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运动专业绳，绳的材质为实心硅胶PVC；长度3米</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斯伯丁76-874Y</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7号球，PU皮</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9"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田径短跑钉鞋</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佳杰伴飞2118</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短钉，商贸系码数36、39、40、41、44码各2双。37、38、42、43码各3双。机械系码数36—44码，36码2双、37—39码各3双，40—42码各4双、43—44码各2双</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水性笔</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晨光K-35</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按动款</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卷皮尺</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30米长、进口玻纤尺带、金属摇杆、圆盘式</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61" w:type="dxa"/>
            <w:vMerge w:val="restar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168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尤尼克斯AS—02</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特级中方鸭毛合成软木球头</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12只/筒</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羽毛球网</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胜利/VICTOR</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网面6.1m×0.76m、网孔1.8cm×1.8cm</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足球</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李宁LFQK579-1</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材质：PU+EVA+贴布丁基内胆、比赛5号球</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61"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飞盘</w:t>
            </w:r>
          </w:p>
        </w:tc>
        <w:tc>
          <w:tcPr>
            <w:tcW w:w="168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耐典</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材质：环保PE、直径：27.5cm</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重量：175（可回旋）红、蓝色各10个</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6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折叠式坐位体前屈</w:t>
            </w:r>
          </w:p>
        </w:tc>
        <w:tc>
          <w:tcPr>
            <w:tcW w:w="168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天姿卓越</w:t>
            </w:r>
          </w:p>
        </w:tc>
        <w:tc>
          <w:tcPr>
            <w:tcW w:w="18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一体折叠、钢制主体、高度可调节，附送坐垫</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测试仪</w:t>
            </w:r>
          </w:p>
        </w:tc>
        <w:tc>
          <w:tcPr>
            <w:tcW w:w="168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仰卧起坐折叠海绵垫</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忧华YHCD-4</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长1.2米宽60厘米高5厘米（两折），牛津布+高弹海绵</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实心球</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恒佳4KG</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4KG+球针+网兜</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浸塑哑铃</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浸塑+铸铁，5KG*2</w:t>
            </w:r>
          </w:p>
        </w:tc>
        <w:tc>
          <w:tcPr>
            <w:tcW w:w="76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咔巴熊</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A4混色双夹/PVC、5个/盒</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6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文件夹板</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智权</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A4线夹</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卷尺</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50米长、进口玻纤尺带、金属摇杆、圆盘式</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发令旗</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不锈钢四色套装（红色+黄色+绿色+白色）</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乒乓球发球机</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汇乒P6</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P6发球机可充电套餐</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61" w:type="dxa"/>
            <w:vMerge w:val="restar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乒乓球裁判用具套装</w:t>
            </w:r>
          </w:p>
        </w:tc>
        <w:tc>
          <w:tcPr>
            <w:tcW w:w="168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双鱼02-401</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尺寸：196*860mm</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配置：软尺、铁尺、红黄白牌、挑边器</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乒乓球主裁判椅</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型号：SY-015、优质加厚钢管多功能写字板式裁判椅、高度：1200mm</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乒乓球副裁判椅</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高：765mm</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折叠式乒乓球裁判桌</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825×755×375mm（长×高×宽）、蓝色</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61"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多功能折叠翻分牌</w:t>
            </w:r>
          </w:p>
        </w:tc>
        <w:tc>
          <w:tcPr>
            <w:tcW w:w="168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架体材质：优质塑料  比分值：0-30</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号牌材质：塑膜硬纸  局分值：0-7</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移动轻便式乒乓球集球网</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2010×1525×500mm（长×高×宽）、蓝色</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6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乒乓球捡球器</w:t>
            </w:r>
          </w:p>
        </w:tc>
        <w:tc>
          <w:tcPr>
            <w:tcW w:w="16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双云</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网桶捡球器、可伸缩</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61" w:type="dxa"/>
            <w:vMerge w:val="restart"/>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玻璃磨砂贴膜</w:t>
            </w:r>
          </w:p>
        </w:tc>
        <w:tc>
          <w:tcPr>
            <w:tcW w:w="1685"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简易典</w:t>
            </w:r>
          </w:p>
        </w:tc>
        <w:tc>
          <w:tcPr>
            <w:tcW w:w="188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材质：PVC  颜色：纯磨砂增厚款</w:t>
            </w:r>
          </w:p>
        </w:tc>
        <w:tc>
          <w:tcPr>
            <w:tcW w:w="76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81"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98"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single" w:color="000000" w:sz="8" w:space="0"/>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1000×60cm</w:t>
            </w:r>
          </w:p>
        </w:tc>
        <w:tc>
          <w:tcPr>
            <w:tcW w:w="76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8"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气排球架</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忧华YHLZ-1</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户外移动气排球网架+标志杆+网</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哨子</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中亚2000</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无核口哨，发音快速，声音尖锐嘹亮，环保树脂材质，配挂绳，方便使用</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哨子</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雷声300</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无核口哨，发音快速，声音尖锐嘹亮，环保树脂材质，配挂绳，方便使用</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篮筐网</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强盛</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13扣加粗加重比赛款，红白蓝三色,直径50公分</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篮球计分翻分牌</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新鲸</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塑料计分薄（不含架子）</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拔河绳</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26人左右20米12斤天然麻绳</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浸塑哑铃</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浸塑+铸铁，3KG*2</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4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61"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浸塑哑铃</w:t>
            </w:r>
          </w:p>
        </w:tc>
        <w:tc>
          <w:tcPr>
            <w:tcW w:w="168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忧华</w:t>
            </w:r>
          </w:p>
        </w:tc>
        <w:tc>
          <w:tcPr>
            <w:tcW w:w="1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浸塑+铸铁，5KG*2</w:t>
            </w:r>
          </w:p>
        </w:tc>
        <w:tc>
          <w:tcPr>
            <w:tcW w:w="76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8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716"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99924</w:t>
            </w:r>
          </w:p>
        </w:tc>
      </w:tr>
      <w:bookmarkEnd w:id="9"/>
    </w:tbl>
    <w:p>
      <w:pPr>
        <w:tabs>
          <w:tab w:val="left" w:pos="420"/>
          <w:tab w:val="left" w:pos="540"/>
          <w:tab w:val="left" w:pos="574"/>
        </w:tabs>
        <w:spacing w:line="360" w:lineRule="auto"/>
        <w:outlineLvl w:val="0"/>
        <w:rPr>
          <w:rFonts w:ascii="宋体" w:hAnsi="宋体" w:cs="宋体"/>
          <w:b/>
          <w:bCs/>
        </w:rPr>
      </w:pPr>
      <w:bookmarkStart w:id="10" w:name="_Toc6045"/>
      <w:r>
        <w:rPr>
          <w:rFonts w:ascii="宋体" w:hAnsi="宋体" w:cs="宋体"/>
          <w:b/>
          <w:bCs/>
        </w:rPr>
        <w:t>五、</w:t>
      </w:r>
      <w:r>
        <w:rPr>
          <w:rFonts w:hint="eastAsia" w:ascii="宋体" w:hAnsi="宋体" w:cs="宋体"/>
          <w:b/>
          <w:bCs/>
        </w:rPr>
        <w:t>商务要求</w:t>
      </w:r>
      <w:bookmarkEnd w:id="10"/>
    </w:p>
    <w:p>
      <w:pPr>
        <w:pStyle w:val="34"/>
        <w:spacing w:line="360" w:lineRule="auto"/>
        <w:ind w:firstLine="210"/>
        <w:rPr>
          <w:highlight w:val="none"/>
        </w:rPr>
      </w:pPr>
      <w:r>
        <w:rPr>
          <w:rFonts w:hint="eastAsia"/>
        </w:rPr>
        <w:t>★</w:t>
      </w:r>
      <w:r>
        <w:rPr>
          <w:rFonts w:hint="eastAsia"/>
          <w:b/>
        </w:rPr>
        <w:t>（一）、合同签订期：</w:t>
      </w:r>
      <w:r>
        <w:rPr>
          <w:rFonts w:hint="eastAsia"/>
        </w:rPr>
        <w:t>中标通</w:t>
      </w:r>
      <w:r>
        <w:rPr>
          <w:rFonts w:hint="eastAsia"/>
          <w:highlight w:val="none"/>
        </w:rPr>
        <w:t>知书发放之日起</w:t>
      </w:r>
      <w:r>
        <w:rPr>
          <w:highlight w:val="none"/>
          <w:u w:val="single"/>
        </w:rPr>
        <w:t>3</w:t>
      </w:r>
      <w:r>
        <w:rPr>
          <w:rFonts w:hint="eastAsia"/>
          <w:highlight w:val="none"/>
        </w:rPr>
        <w:t>个工作日内。</w:t>
      </w:r>
    </w:p>
    <w:p>
      <w:pPr>
        <w:pStyle w:val="34"/>
        <w:spacing w:line="360" w:lineRule="auto"/>
        <w:ind w:firstLine="210"/>
        <w:rPr>
          <w:rFonts w:hint="eastAsia"/>
        </w:rPr>
      </w:pPr>
      <w:r>
        <w:rPr>
          <w:rFonts w:hint="eastAsia"/>
          <w:highlight w:val="none"/>
        </w:rPr>
        <w:t>★</w:t>
      </w:r>
      <w:r>
        <w:rPr>
          <w:rFonts w:hint="eastAsia"/>
          <w:b/>
          <w:highlight w:val="none"/>
        </w:rPr>
        <w:t>（二）、交货要求：</w:t>
      </w:r>
      <w:r>
        <w:rPr>
          <w:rFonts w:hint="eastAsia"/>
          <w:highlight w:val="none"/>
        </w:rPr>
        <w:t>签定合同后</w:t>
      </w:r>
      <w:r>
        <w:rPr>
          <w:rFonts w:hint="eastAsia"/>
          <w:color w:val="000000" w:themeColor="text1"/>
          <w:highlight w:val="none"/>
          <w:u w:val="single"/>
        </w:rPr>
        <w:t xml:space="preserve"> </w:t>
      </w:r>
      <w:r>
        <w:rPr>
          <w:rFonts w:hint="eastAsia"/>
          <w:color w:val="000000" w:themeColor="text1"/>
          <w:highlight w:val="none"/>
          <w:u w:val="single"/>
          <w:lang w:val="en-US" w:eastAsia="zh-CN"/>
        </w:rPr>
        <w:t>7</w:t>
      </w:r>
      <w:r>
        <w:rPr>
          <w:rFonts w:hint="eastAsia"/>
          <w:color w:val="000000" w:themeColor="text1"/>
          <w:highlight w:val="none"/>
          <w:u w:val="single"/>
        </w:rPr>
        <w:t xml:space="preserve"> </w:t>
      </w:r>
      <w:r>
        <w:rPr>
          <w:rFonts w:hint="eastAsia"/>
          <w:color w:val="000000" w:themeColor="text1"/>
          <w:highlight w:val="none"/>
        </w:rPr>
        <w:t>天内，采购人按照实际情况要求供应商分批分次供货到采购人指定的地点</w:t>
      </w:r>
      <w:r>
        <w:rPr>
          <w:rFonts w:hint="eastAsia"/>
          <w:color w:val="000000" w:themeColor="text1"/>
          <w:highlight w:val="none"/>
          <w:lang w:eastAsia="zh-CN"/>
        </w:rPr>
        <w:t>（</w:t>
      </w:r>
      <w:r>
        <w:rPr>
          <w:rFonts w:hint="eastAsia"/>
          <w:color w:val="000000" w:themeColor="text1"/>
          <w:highlight w:val="none"/>
          <w:lang w:val="en-US" w:eastAsia="zh-CN"/>
        </w:rPr>
        <w:t>详见下表</w:t>
      </w:r>
      <w:r>
        <w:rPr>
          <w:rFonts w:hint="eastAsia"/>
          <w:color w:val="000000" w:themeColor="text1"/>
          <w:highlight w:val="none"/>
          <w:lang w:eastAsia="zh-CN"/>
        </w:rPr>
        <w:t>）</w:t>
      </w:r>
      <w:r>
        <w:rPr>
          <w:rFonts w:hint="eastAsia"/>
          <w:color w:val="000000" w:themeColor="text1"/>
          <w:highlight w:val="none"/>
        </w:rPr>
        <w:t>，每次供货时间需提前7天以</w:t>
      </w:r>
      <w:r>
        <w:rPr>
          <w:rFonts w:hint="eastAsia"/>
        </w:rPr>
        <w:t>上通知供应商，实际供货时间由采购人指定。</w:t>
      </w:r>
    </w:p>
    <w:tbl>
      <w:tblPr>
        <w:tblStyle w:val="36"/>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83"/>
        <w:gridCol w:w="468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序号</w:t>
            </w:r>
          </w:p>
        </w:tc>
        <w:tc>
          <w:tcPr>
            <w:tcW w:w="148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校区名称</w:t>
            </w:r>
          </w:p>
        </w:tc>
        <w:tc>
          <w:tcPr>
            <w:tcW w:w="4680" w:type="dxa"/>
          </w:tcPr>
          <w:p>
            <w:pPr>
              <w:jc w:val="center"/>
              <w:rPr>
                <w:rFonts w:hint="eastAsia" w:ascii="Calibri" w:hAnsi="Calibri" w:eastAsia="宋体" w:cs="Calibri"/>
                <w:color w:val="FF0000"/>
                <w:kern w:val="2"/>
                <w:sz w:val="21"/>
                <w:szCs w:val="21"/>
                <w:highlight w:val="none"/>
                <w:lang w:val="en-US" w:eastAsia="zh-CN" w:bidi="ar-SA"/>
              </w:rPr>
            </w:pPr>
            <w:r>
              <w:rPr>
                <w:rFonts w:hint="eastAsia" w:cs="Calibri"/>
                <w:color w:val="FF0000"/>
                <w:kern w:val="2"/>
                <w:sz w:val="21"/>
                <w:szCs w:val="21"/>
                <w:highlight w:val="none"/>
                <w:lang w:val="en-US" w:eastAsia="zh-CN" w:bidi="ar-SA"/>
              </w:rPr>
              <w:t>送货</w:t>
            </w:r>
            <w:r>
              <w:rPr>
                <w:rFonts w:hint="eastAsia" w:ascii="Calibri" w:hAnsi="Calibri" w:eastAsia="宋体" w:cs="Calibri"/>
                <w:color w:val="FF0000"/>
                <w:kern w:val="2"/>
                <w:sz w:val="21"/>
                <w:szCs w:val="21"/>
                <w:highlight w:val="none"/>
                <w:lang w:val="en-US" w:eastAsia="zh-CN" w:bidi="ar-SA"/>
              </w:rPr>
              <w:t>地址</w:t>
            </w:r>
          </w:p>
        </w:tc>
        <w:tc>
          <w:tcPr>
            <w:tcW w:w="885"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1</w:t>
            </w:r>
          </w:p>
        </w:tc>
        <w:tc>
          <w:tcPr>
            <w:tcW w:w="1483"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新校区</w:t>
            </w:r>
          </w:p>
        </w:tc>
        <w:tc>
          <w:tcPr>
            <w:tcW w:w="4680"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南宁市西乡塘区大学西路157号</w:t>
            </w:r>
          </w:p>
        </w:tc>
        <w:tc>
          <w:tcPr>
            <w:tcW w:w="885" w:type="dxa"/>
          </w:tcPr>
          <w:p>
            <w:pPr>
              <w:rPr>
                <w:rFonts w:hint="eastAsia" w:ascii="Calibri" w:hAnsi="Calibri" w:eastAsia="宋体" w:cs="Calibri"/>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4</w:t>
            </w:r>
          </w:p>
        </w:tc>
        <w:tc>
          <w:tcPr>
            <w:tcW w:w="1483"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民族校区</w:t>
            </w:r>
          </w:p>
        </w:tc>
        <w:tc>
          <w:tcPr>
            <w:tcW w:w="4680"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南宁市西乡塘区明秀东路北四里8号</w:t>
            </w:r>
          </w:p>
        </w:tc>
        <w:tc>
          <w:tcPr>
            <w:tcW w:w="885" w:type="dxa"/>
          </w:tcPr>
          <w:p>
            <w:pPr>
              <w:rPr>
                <w:rFonts w:hint="eastAsia" w:ascii="Calibri" w:hAnsi="Calibri" w:eastAsia="宋体" w:cs="Calibri"/>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5</w:t>
            </w:r>
          </w:p>
        </w:tc>
        <w:tc>
          <w:tcPr>
            <w:tcW w:w="1483"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医药校区</w:t>
            </w:r>
          </w:p>
        </w:tc>
        <w:tc>
          <w:tcPr>
            <w:tcW w:w="4680"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南宁市兴宁区明秀东路78号</w:t>
            </w:r>
          </w:p>
        </w:tc>
        <w:tc>
          <w:tcPr>
            <w:tcW w:w="885" w:type="dxa"/>
          </w:tcPr>
          <w:p>
            <w:pPr>
              <w:rPr>
                <w:rFonts w:hint="eastAsia" w:ascii="Calibri" w:hAnsi="Calibri" w:eastAsia="宋体" w:cs="Calibri"/>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jc w:val="cente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6</w:t>
            </w:r>
          </w:p>
        </w:tc>
        <w:tc>
          <w:tcPr>
            <w:tcW w:w="1483" w:type="dxa"/>
          </w:tcPr>
          <w:p>
            <w:pPr>
              <w:rPr>
                <w:rFonts w:hint="eastAsia" w:ascii="Calibri" w:hAnsi="Calibri" w:eastAsia="宋体" w:cs="Calibri"/>
                <w:color w:val="FF0000"/>
                <w:kern w:val="2"/>
                <w:sz w:val="21"/>
                <w:szCs w:val="21"/>
                <w:highlight w:val="none"/>
                <w:lang w:val="en-US" w:eastAsia="zh-CN" w:bidi="ar-SA"/>
              </w:rPr>
            </w:pPr>
            <w:r>
              <w:rPr>
                <w:rFonts w:hint="eastAsia" w:cs="Calibri"/>
                <w:color w:val="FF0000"/>
                <w:kern w:val="2"/>
                <w:sz w:val="21"/>
                <w:szCs w:val="21"/>
                <w:highlight w:val="none"/>
                <w:lang w:val="en-US" w:eastAsia="zh-CN" w:bidi="ar-SA"/>
              </w:rPr>
              <w:t>商贸</w:t>
            </w:r>
            <w:r>
              <w:rPr>
                <w:rFonts w:hint="eastAsia" w:ascii="Calibri" w:hAnsi="Calibri" w:eastAsia="宋体" w:cs="Calibri"/>
                <w:color w:val="FF0000"/>
                <w:kern w:val="2"/>
                <w:sz w:val="21"/>
                <w:szCs w:val="21"/>
                <w:highlight w:val="none"/>
                <w:lang w:val="en-US" w:eastAsia="zh-CN" w:bidi="ar-SA"/>
              </w:rPr>
              <w:t>校区</w:t>
            </w:r>
          </w:p>
        </w:tc>
        <w:tc>
          <w:tcPr>
            <w:tcW w:w="4680" w:type="dxa"/>
          </w:tcPr>
          <w:p>
            <w:pPr>
              <w:rPr>
                <w:rFonts w:hint="eastAsia" w:ascii="Calibri" w:hAnsi="Calibri" w:eastAsia="宋体" w:cs="Calibri"/>
                <w:color w:val="FF0000"/>
                <w:kern w:val="2"/>
                <w:sz w:val="21"/>
                <w:szCs w:val="21"/>
                <w:highlight w:val="none"/>
                <w:lang w:val="en-US" w:eastAsia="zh-CN" w:bidi="ar-SA"/>
              </w:rPr>
            </w:pPr>
            <w:r>
              <w:rPr>
                <w:rFonts w:hint="eastAsia" w:ascii="Calibri" w:hAnsi="Calibri" w:eastAsia="宋体" w:cs="Calibri"/>
                <w:color w:val="FF0000"/>
                <w:kern w:val="2"/>
                <w:sz w:val="21"/>
                <w:szCs w:val="21"/>
                <w:highlight w:val="none"/>
                <w:lang w:val="en-US" w:eastAsia="zh-CN" w:bidi="ar-SA"/>
              </w:rPr>
              <w:t>南宁市西乡塘区陈西路45号</w:t>
            </w:r>
          </w:p>
        </w:tc>
        <w:tc>
          <w:tcPr>
            <w:tcW w:w="885" w:type="dxa"/>
          </w:tcPr>
          <w:p>
            <w:pPr>
              <w:rPr>
                <w:rFonts w:hint="eastAsia" w:ascii="Calibri" w:hAnsi="Calibri" w:eastAsia="宋体" w:cs="Calibri"/>
                <w:color w:val="FF0000"/>
                <w:kern w:val="2"/>
                <w:sz w:val="21"/>
                <w:szCs w:val="21"/>
                <w:highlight w:val="none"/>
                <w:lang w:val="en-US" w:eastAsia="zh-CN" w:bidi="ar-SA"/>
              </w:rPr>
            </w:pPr>
          </w:p>
        </w:tc>
      </w:tr>
    </w:tbl>
    <w:p>
      <w:pPr>
        <w:pStyle w:val="34"/>
        <w:spacing w:line="360" w:lineRule="auto"/>
        <w:ind w:firstLine="211"/>
        <w:rPr>
          <w:b/>
        </w:rPr>
      </w:pPr>
      <w:r>
        <w:rPr>
          <w:rFonts w:hint="eastAsia"/>
          <w:b/>
        </w:rPr>
        <w:t>（三）、验收方法：</w:t>
      </w:r>
    </w:p>
    <w:p>
      <w:pPr>
        <w:pStyle w:val="34"/>
        <w:spacing w:line="360" w:lineRule="auto"/>
        <w:ind w:firstLine="210"/>
      </w:pPr>
      <w:r>
        <w:rPr>
          <w:rFonts w:hint="eastAsia"/>
        </w:rPr>
        <w:t>★由货物使用单位按照合同、投标文件承诺、询价文件的技术参数要求和商务要求对成交货物的产品外观、规格、基本参数等基本项目进行检验，收货检验时发现质量不合格的产品，中标人须给予更换。</w:t>
      </w:r>
    </w:p>
    <w:p>
      <w:pPr>
        <w:pStyle w:val="34"/>
        <w:spacing w:line="360" w:lineRule="auto"/>
        <w:ind w:firstLine="210"/>
      </w:pPr>
      <w:r>
        <w:rPr>
          <w:rFonts w:hint="eastAsia"/>
        </w:rPr>
        <w:t>★</w:t>
      </w:r>
      <w:r>
        <w:rPr>
          <w:rFonts w:hint="eastAsia"/>
          <w:b/>
        </w:rPr>
        <w:t>（四）、投标报价为采购人指定地点的现场交货价，包括：</w:t>
      </w:r>
    </w:p>
    <w:p>
      <w:pPr>
        <w:pStyle w:val="34"/>
        <w:spacing w:line="360" w:lineRule="auto"/>
        <w:ind w:firstLine="210"/>
      </w:pPr>
      <w:r>
        <w:rPr>
          <w:rFonts w:hint="eastAsia"/>
        </w:rPr>
        <w:t>1、货物及标准附件、备品备件、专用工具的价格；</w:t>
      </w:r>
    </w:p>
    <w:p>
      <w:pPr>
        <w:pStyle w:val="34"/>
        <w:spacing w:line="360" w:lineRule="auto"/>
        <w:ind w:firstLine="210"/>
      </w:pPr>
      <w:r>
        <w:rPr>
          <w:rFonts w:hint="eastAsia"/>
        </w:rPr>
        <w:t>2、运输、装卸、调试、培训、技术支持、售后服务等费用；</w:t>
      </w:r>
    </w:p>
    <w:p>
      <w:pPr>
        <w:pStyle w:val="34"/>
        <w:spacing w:line="360" w:lineRule="auto"/>
        <w:ind w:firstLine="210"/>
      </w:pPr>
      <w:r>
        <w:rPr>
          <w:rFonts w:hint="eastAsia"/>
        </w:rPr>
        <w:t>3、必要的保险费用和各项税费；</w:t>
      </w:r>
    </w:p>
    <w:p>
      <w:pPr>
        <w:pStyle w:val="34"/>
        <w:spacing w:line="360" w:lineRule="auto"/>
        <w:ind w:firstLine="210"/>
      </w:pPr>
      <w:r>
        <w:rPr>
          <w:rFonts w:hint="eastAsia"/>
        </w:rPr>
        <w:t>★</w:t>
      </w:r>
      <w:r>
        <w:rPr>
          <w:rFonts w:hint="eastAsia"/>
          <w:b/>
        </w:rPr>
        <w:t>（五）、其他要求：</w:t>
      </w:r>
    </w:p>
    <w:p>
      <w:pPr>
        <w:pStyle w:val="17"/>
        <w:tabs>
          <w:tab w:val="left" w:pos="540"/>
        </w:tabs>
        <w:adjustRightInd w:val="0"/>
        <w:snapToGrid w:val="0"/>
        <w:spacing w:line="360" w:lineRule="auto"/>
        <w:ind w:firstLine="420" w:firstLineChars="200"/>
        <w:rPr>
          <w:rFonts w:hAnsi="宋体"/>
        </w:rPr>
      </w:pPr>
      <w:r>
        <w:rPr>
          <w:rFonts w:hint="eastAsia" w:hAnsi="宋体"/>
        </w:rPr>
        <w:t>对采购人的服务通知，成交供应商在接报后</w:t>
      </w:r>
      <w:r>
        <w:rPr>
          <w:rFonts w:hint="eastAsia" w:hAnsi="宋体"/>
          <w:color w:val="FF0000"/>
        </w:rPr>
        <w:t>2小时</w:t>
      </w:r>
      <w:r>
        <w:rPr>
          <w:rFonts w:hint="eastAsia" w:hAnsi="宋体"/>
        </w:rPr>
        <w:t>内响应，2</w:t>
      </w:r>
      <w:r>
        <w:rPr>
          <w:rFonts w:hAnsi="宋体"/>
        </w:rPr>
        <w:t>4</w:t>
      </w:r>
      <w:r>
        <w:rPr>
          <w:rFonts w:hint="eastAsia" w:hAnsi="宋体"/>
        </w:rPr>
        <w:t>小时内到达现场，</w:t>
      </w:r>
      <w:r>
        <w:rPr>
          <w:rFonts w:hAnsi="宋体"/>
        </w:rPr>
        <w:t>48</w:t>
      </w:r>
      <w:r>
        <w:rPr>
          <w:rFonts w:hint="eastAsia" w:hAnsi="宋体"/>
        </w:rPr>
        <w:t>小时内处理完毕。若在</w:t>
      </w:r>
      <w:r>
        <w:rPr>
          <w:rFonts w:hAnsi="宋体"/>
        </w:rPr>
        <w:t>48</w:t>
      </w:r>
      <w:r>
        <w:rPr>
          <w:rFonts w:hint="eastAsia" w:hAnsi="宋体"/>
        </w:rPr>
        <w:t>小时内仍未能有效解决，成交供应商须免费提供同档次的设备给予采购人临时使用。</w:t>
      </w:r>
    </w:p>
    <w:p>
      <w:pPr>
        <w:pStyle w:val="17"/>
        <w:tabs>
          <w:tab w:val="left" w:pos="540"/>
        </w:tabs>
        <w:adjustRightInd w:val="0"/>
        <w:snapToGrid w:val="0"/>
        <w:spacing w:line="360" w:lineRule="auto"/>
        <w:ind w:firstLine="422" w:firstLineChars="200"/>
        <w:rPr>
          <w:rFonts w:hAnsi="宋体"/>
          <w:b/>
          <w:bCs/>
        </w:rPr>
      </w:pPr>
      <w:r>
        <w:rPr>
          <w:rFonts w:hint="eastAsia" w:hAnsi="宋体"/>
          <w:b/>
        </w:rPr>
        <w:t>★（六）</w:t>
      </w:r>
      <w:r>
        <w:rPr>
          <w:rFonts w:hAnsi="宋体"/>
          <w:b/>
        </w:rPr>
        <w:t>、</w:t>
      </w:r>
      <w:r>
        <w:rPr>
          <w:rFonts w:hint="eastAsia" w:hAnsi="宋体"/>
          <w:b/>
          <w:bCs/>
        </w:rPr>
        <w:t>付款方式</w:t>
      </w:r>
    </w:p>
    <w:p>
      <w:pPr>
        <w:tabs>
          <w:tab w:val="left" w:pos="420"/>
          <w:tab w:val="left" w:pos="540"/>
          <w:tab w:val="left" w:pos="574"/>
        </w:tabs>
        <w:spacing w:line="360" w:lineRule="auto"/>
        <w:ind w:firstLine="420" w:firstLineChars="200"/>
        <w:outlineLvl w:val="0"/>
        <w:rPr>
          <w:rFonts w:hint="default" w:ascii="宋体" w:eastAsia="宋体"/>
          <w:color w:val="FF0000"/>
          <w:lang w:val="en-US" w:eastAsia="zh-CN"/>
        </w:rPr>
      </w:pPr>
      <w:bookmarkStart w:id="11" w:name="_Toc6422"/>
      <w:r>
        <w:rPr>
          <w:rFonts w:ascii="宋体" w:hAnsi="宋体" w:cs="宋体"/>
          <w:color w:val="000000" w:themeColor="text1"/>
        </w:rPr>
        <w:t>1</w:t>
      </w:r>
      <w:r>
        <w:rPr>
          <w:rFonts w:hint="eastAsia" w:ascii="宋体" w:hAnsi="宋体" w:cs="宋体"/>
          <w:color w:val="000000" w:themeColor="text1"/>
          <w:lang w:eastAsia="zh-CN"/>
        </w:rPr>
        <w:t>、</w:t>
      </w:r>
      <w:r>
        <w:rPr>
          <w:rFonts w:hint="eastAsia" w:ascii="宋体" w:hAnsi="宋体" w:cs="宋体"/>
          <w:color w:val="000000"/>
          <w:szCs w:val="21"/>
        </w:rPr>
        <w:t>本项目无预付款，</w:t>
      </w:r>
      <w:r>
        <w:rPr>
          <w:rFonts w:hint="eastAsia" w:ascii="宋体" w:hAnsi="宋体" w:cs="宋体"/>
          <w:color w:val="000000"/>
          <w:szCs w:val="21"/>
          <w:lang w:val="zh-CN"/>
        </w:rPr>
        <w:t>货物</w:t>
      </w:r>
      <w:r>
        <w:rPr>
          <w:rFonts w:hint="eastAsia" w:ascii="宋体" w:hAnsi="宋体" w:cs="宋体"/>
          <w:color w:val="000000"/>
          <w:szCs w:val="21"/>
        </w:rPr>
        <w:t>安装完成并</w:t>
      </w:r>
      <w:r>
        <w:rPr>
          <w:rFonts w:hint="eastAsia" w:ascii="宋体" w:hAnsi="宋体" w:cs="宋体"/>
          <w:color w:val="000000"/>
          <w:szCs w:val="21"/>
          <w:lang w:val="zh-CN"/>
        </w:rPr>
        <w:t>验收合格</w:t>
      </w:r>
      <w:r>
        <w:rPr>
          <w:rFonts w:hint="eastAsia" w:ascii="宋体" w:hAnsi="宋体" w:cs="宋体"/>
          <w:color w:val="000000"/>
          <w:szCs w:val="21"/>
        </w:rPr>
        <w:t>后</w:t>
      </w:r>
      <w:r>
        <w:rPr>
          <w:rFonts w:hint="eastAsia" w:ascii="宋体" w:hAnsi="宋体" w:cs="宋体"/>
          <w:color w:val="000000"/>
          <w:szCs w:val="21"/>
          <w:lang w:val="zh-CN"/>
        </w:rPr>
        <w:t>，</w:t>
      </w:r>
      <w:r>
        <w:rPr>
          <w:rFonts w:hint="eastAsia" w:ascii="宋体" w:hAnsi="宋体" w:cs="宋体"/>
          <w:color w:val="000000"/>
          <w:szCs w:val="21"/>
        </w:rPr>
        <w:t>一次性付款。</w:t>
      </w:r>
      <w:bookmarkEnd w:id="11"/>
    </w:p>
    <w:p>
      <w:pPr>
        <w:tabs>
          <w:tab w:val="left" w:pos="630"/>
        </w:tabs>
        <w:spacing w:line="360" w:lineRule="auto"/>
        <w:ind w:firstLine="420" w:firstLineChars="200"/>
        <w:rPr>
          <w:rFonts w:ascii="宋体" w:hAnsi="宋体" w:cs="宋体"/>
        </w:rPr>
      </w:pPr>
      <w:r>
        <w:rPr>
          <w:rFonts w:ascii="宋体" w:hAnsi="宋体" w:cs="宋体"/>
        </w:rPr>
        <w:t>2、</w:t>
      </w:r>
      <w:r>
        <w:rPr>
          <w:rFonts w:hint="eastAsia" w:ascii="宋体" w:hAnsi="宋体" w:cs="宋体"/>
        </w:rPr>
        <w:t>成交供应商凭以下有效文件与采购人结算：</w:t>
      </w:r>
    </w:p>
    <w:p>
      <w:pPr>
        <w:tabs>
          <w:tab w:val="left" w:pos="630"/>
        </w:tabs>
        <w:spacing w:line="360" w:lineRule="auto"/>
        <w:ind w:firstLine="420" w:firstLineChars="200"/>
        <w:rPr>
          <w:rFonts w:ascii="宋体" w:hAnsi="宋体" w:cs="宋体"/>
        </w:rPr>
      </w:pPr>
      <w:r>
        <w:rPr>
          <w:rFonts w:hint="eastAsia" w:ascii="宋体" w:hAnsi="宋体" w:cs="宋体"/>
        </w:rPr>
        <w:t>（1）合同；</w:t>
      </w:r>
    </w:p>
    <w:p>
      <w:pPr>
        <w:tabs>
          <w:tab w:val="left" w:pos="630"/>
        </w:tabs>
        <w:spacing w:line="360" w:lineRule="auto"/>
        <w:ind w:firstLine="420" w:firstLineChars="200"/>
        <w:rPr>
          <w:rFonts w:ascii="宋体" w:hAnsi="宋体" w:cs="宋体"/>
        </w:rPr>
      </w:pPr>
      <w:r>
        <w:rPr>
          <w:rFonts w:hint="eastAsia" w:ascii="宋体" w:hAnsi="宋体" w:cs="宋体"/>
        </w:rPr>
        <w:t>（2）成交供应商开具的正式发票；</w:t>
      </w:r>
    </w:p>
    <w:p>
      <w:pPr>
        <w:tabs>
          <w:tab w:val="left" w:pos="630"/>
        </w:tabs>
        <w:spacing w:line="360" w:lineRule="auto"/>
        <w:ind w:firstLine="420" w:firstLineChars="200"/>
        <w:rPr>
          <w:rFonts w:ascii="宋体" w:hAnsi="宋体" w:cs="宋体"/>
        </w:rPr>
      </w:pPr>
      <w:r>
        <w:rPr>
          <w:rFonts w:hint="eastAsia" w:ascii="宋体" w:hAnsi="宋体" w:cs="宋体"/>
        </w:rPr>
        <w:t>（3）采购人使用部门的货物验收入库单；</w:t>
      </w:r>
    </w:p>
    <w:p>
      <w:pPr>
        <w:tabs>
          <w:tab w:val="left" w:pos="630"/>
        </w:tabs>
        <w:spacing w:line="360" w:lineRule="auto"/>
        <w:ind w:firstLine="420" w:firstLineChars="200"/>
        <w:rPr>
          <w:rFonts w:ascii="宋体" w:hAnsi="宋体" w:cs="宋体"/>
        </w:rPr>
      </w:pPr>
      <w:r>
        <w:rPr>
          <w:rFonts w:hint="eastAsia" w:ascii="宋体" w:hAnsi="宋体" w:cs="宋体"/>
        </w:rPr>
        <w:t>（4）成交通知书。</w:t>
      </w:r>
    </w:p>
    <w:p>
      <w:pPr>
        <w:tabs>
          <w:tab w:val="left" w:pos="540"/>
          <w:tab w:val="left" w:pos="574"/>
        </w:tabs>
        <w:spacing w:line="360" w:lineRule="auto"/>
        <w:ind w:firstLine="422" w:firstLineChars="200"/>
        <w:outlineLvl w:val="0"/>
        <w:rPr>
          <w:b/>
          <w:bCs/>
        </w:rPr>
      </w:pPr>
      <w:bookmarkStart w:id="12" w:name="_Toc14828"/>
      <w:r>
        <w:rPr>
          <w:rFonts w:hint="eastAsia" w:cs="宋体"/>
          <w:b/>
          <w:bCs/>
        </w:rPr>
        <w:t>六、采购人配合条件</w:t>
      </w:r>
      <w:bookmarkEnd w:id="12"/>
    </w:p>
    <w:p>
      <w:pPr>
        <w:spacing w:line="360" w:lineRule="auto"/>
        <w:ind w:firstLine="420" w:firstLineChars="200"/>
        <w:rPr>
          <w:rFonts w:ascii="宋体"/>
        </w:rPr>
      </w:pPr>
      <w:r>
        <w:rPr>
          <w:rFonts w:hint="eastAsia" w:ascii="宋体" w:hAnsi="宋体" w:cs="宋体"/>
        </w:rPr>
        <w:t>如有需要，供应商须在响应文件中列明在项目实施过程中要求采购人提供的配合条件。</w:t>
      </w:r>
    </w:p>
    <w:p>
      <w:pPr>
        <w:widowControl/>
        <w:spacing w:line="360" w:lineRule="auto"/>
        <w:ind w:firstLine="420" w:firstLineChars="200"/>
        <w:jc w:val="left"/>
        <w:rPr>
          <w:rFonts w:hAnsi="宋体" w:cs="宋体"/>
        </w:rPr>
      </w:pPr>
    </w:p>
    <w:p>
      <w:pPr>
        <w:snapToGrid w:val="0"/>
        <w:spacing w:line="360" w:lineRule="auto"/>
        <w:ind w:firstLine="420" w:firstLineChars="200"/>
        <w:rPr>
          <w:rFonts w:ascii="宋体" w:hAnsi="Times New Roman" w:cs="宋体"/>
        </w:rPr>
      </w:pPr>
    </w:p>
    <w:bookmarkEnd w:id="3"/>
    <w:p>
      <w:pPr>
        <w:spacing w:line="360" w:lineRule="auto"/>
        <w:jc w:val="center"/>
        <w:rPr>
          <w:rFonts w:hint="eastAsia" w:ascii="黑体" w:eastAsia="黑体" w:cs="黑体"/>
          <w:sz w:val="32"/>
          <w:szCs w:val="32"/>
        </w:rPr>
      </w:pPr>
      <w:bookmarkStart w:id="13" w:name="_Toc454458052"/>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spacing w:line="360" w:lineRule="auto"/>
        <w:jc w:val="center"/>
        <w:rPr>
          <w:rFonts w:hint="eastAsia" w:ascii="黑体" w:eastAsia="黑体" w:cs="黑体"/>
          <w:sz w:val="32"/>
          <w:szCs w:val="32"/>
        </w:rPr>
      </w:pPr>
    </w:p>
    <w:p>
      <w:pPr>
        <w:pStyle w:val="3"/>
        <w:bidi w:val="0"/>
        <w:jc w:val="center"/>
        <w:rPr>
          <w:rFonts w:hint="eastAsia"/>
          <w:sz w:val="36"/>
          <w:szCs w:val="36"/>
        </w:rPr>
      </w:pPr>
      <w:bookmarkStart w:id="14" w:name="_Toc31253"/>
    </w:p>
    <w:p>
      <w:pPr>
        <w:pStyle w:val="3"/>
        <w:bidi w:val="0"/>
        <w:jc w:val="center"/>
        <w:rPr>
          <w:sz w:val="36"/>
          <w:szCs w:val="36"/>
        </w:rPr>
      </w:pPr>
      <w:r>
        <w:rPr>
          <w:rFonts w:hint="eastAsia"/>
          <w:sz w:val="36"/>
          <w:szCs w:val="36"/>
        </w:rPr>
        <w:t>第三章 询价须知</w:t>
      </w:r>
      <w:bookmarkEnd w:id="13"/>
      <w:bookmarkEnd w:id="14"/>
    </w:p>
    <w:p>
      <w:pPr>
        <w:pStyle w:val="3"/>
        <w:adjustRightInd w:val="0"/>
        <w:snapToGrid w:val="0"/>
        <w:spacing w:line="360" w:lineRule="auto"/>
        <w:jc w:val="center"/>
        <w:rPr>
          <w:sz w:val="30"/>
          <w:szCs w:val="30"/>
        </w:rPr>
      </w:pPr>
      <w:bookmarkStart w:id="15" w:name="_Toc448133309"/>
      <w:bookmarkStart w:id="16" w:name="_Toc453493032"/>
      <w:bookmarkStart w:id="17" w:name="_Toc23116"/>
      <w:bookmarkStart w:id="18" w:name="_Toc454458053"/>
      <w:r>
        <w:rPr>
          <w:rFonts w:hint="eastAsia" w:cs="宋体"/>
          <w:sz w:val="30"/>
          <w:szCs w:val="30"/>
        </w:rPr>
        <w:t>一、总则</w:t>
      </w:r>
      <w:bookmarkEnd w:id="15"/>
      <w:bookmarkEnd w:id="16"/>
      <w:bookmarkEnd w:id="17"/>
      <w:bookmarkEnd w:id="1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9" w:name="_Toc454458054"/>
      <w:bookmarkStart w:id="20" w:name="_Toc453493033"/>
      <w:bookmarkStart w:id="21" w:name="_Toc448133310"/>
      <w:bookmarkStart w:id="22" w:name="_Toc32133"/>
      <w:r>
        <w:rPr>
          <w:rFonts w:hint="eastAsia" w:cs="宋体"/>
          <w:sz w:val="30"/>
          <w:szCs w:val="30"/>
        </w:rPr>
        <w:t>二、询价</w:t>
      </w:r>
      <w:bookmarkEnd w:id="19"/>
      <w:bookmarkEnd w:id="20"/>
      <w:bookmarkEnd w:id="21"/>
      <w:r>
        <w:rPr>
          <w:rFonts w:hint="eastAsia" w:cs="宋体"/>
          <w:sz w:val="30"/>
          <w:szCs w:val="30"/>
        </w:rPr>
        <w:t>文件</w:t>
      </w:r>
      <w:bookmarkEnd w:id="2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hint="eastAsia" w:ascii="宋体" w:hAnsi="Times New Roman" w:eastAsia="宋体" w:cs="宋体"/>
          <w:lang w:eastAsia="zh-CN"/>
        </w:rPr>
      </w:pPr>
      <w:r>
        <w:rPr>
          <w:rFonts w:hint="eastAsia" w:ascii="宋体" w:hAnsi="宋体" w:cs="宋体"/>
        </w:rPr>
        <w:t>5.1.1询价</w:t>
      </w:r>
      <w:r>
        <w:rPr>
          <w:rFonts w:hint="eastAsia" w:ascii="宋体" w:hAnsi="宋体" w:cs="宋体"/>
          <w:lang w:val="en-US" w:eastAsia="zh-CN"/>
        </w:rPr>
        <w:t>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23" w:name="_Hlk42786655"/>
      <w:r>
        <w:rPr>
          <w:rFonts w:hint="eastAsia" w:ascii="宋体" w:hAnsi="宋体" w:cs="宋体"/>
          <w:color w:val="000000"/>
        </w:rPr>
        <w:t>文件</w:t>
      </w:r>
      <w:bookmarkEnd w:id="23"/>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24" w:name="_Toc448133311"/>
      <w:bookmarkStart w:id="25" w:name="_Toc453493034"/>
      <w:bookmarkStart w:id="26" w:name="_Toc5744"/>
      <w:bookmarkStart w:id="27" w:name="_Toc454458055"/>
      <w:r>
        <w:rPr>
          <w:rFonts w:hint="eastAsia" w:cs="宋体"/>
          <w:sz w:val="30"/>
          <w:szCs w:val="30"/>
        </w:rPr>
        <w:t>三、响应文件的编制</w:t>
      </w:r>
      <w:bookmarkEnd w:id="24"/>
      <w:bookmarkEnd w:id="25"/>
      <w:bookmarkEnd w:id="26"/>
      <w:bookmarkEnd w:id="2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hint="eastAsia" w:ascii="宋体" w:hAnsi="宋体" w:eastAsia="宋体" w:cs="宋体"/>
        </w:rPr>
      </w:pPr>
      <w:bookmarkStart w:id="28" w:name="_Toc378586968"/>
      <w:r>
        <w:rPr>
          <w:rFonts w:hint="eastAsia" w:ascii="宋体" w:hAnsi="宋体" w:cs="宋体"/>
          <w:b/>
        </w:rPr>
        <w:t>9.响应文件的构成</w:t>
      </w:r>
      <w:bookmarkEnd w:id="28"/>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9.1响应文件应包括资格、符合性资料和其他资料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供应商编制并提交的响应文件应包括但不少于下列内容: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询价响应函</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供应商资格声明函</w:t>
      </w:r>
      <w:r>
        <w:rPr>
          <w:rFonts w:hint="eastAsia" w:ascii="宋体" w:hAnsi="宋体" w:eastAsia="宋体" w:cs="宋体"/>
          <w:color w:val="auto"/>
          <w:highlight w:val="none"/>
        </w:rPr>
        <w:t xml:space="preserve">；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无围标、串标行为承诺书</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（4）法定代表人身份证明、法定代表人授权委托书；</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“★”条款响应一览表</w:t>
      </w:r>
    </w:p>
    <w:p>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报价表（含报价一览表、报价明细报价表）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供应商相关资料：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1）营业执照副本、税务登记证明、组织机构代码证（注:三证合一提供营业执照）；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提供投标截止日前在“国家企业信用信息公示系统” (www.gsxt.gov.cn) 查询信息中的“营业执照信息”、“股东及出资信息”、“主要人员信息”截图加盖公章；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提供投标截止日前在“信用中国”网站（www.creditchina.gov.cn）查询结果截图复印件加盖公章；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提供投标截止日前在中国政府采购网(www.ccgp.gov.cn) 查询结果截图复印件加盖公章；</w:t>
      </w:r>
    </w:p>
    <w:p>
      <w:pPr>
        <w:spacing w:line="360" w:lineRule="auto"/>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cs="宋体"/>
          <w:b w:val="0"/>
          <w:bCs w:val="0"/>
          <w:color w:val="auto"/>
          <w:kern w:val="2"/>
          <w:sz w:val="21"/>
          <w:szCs w:val="21"/>
          <w:highlight w:val="none"/>
          <w:lang w:val="en-US" w:eastAsia="zh-CN" w:bidi="ar-SA"/>
        </w:rPr>
        <w:t>本项目的特定资格要求（详见第一章“询价公告”）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）供应商认为需要提供的其他材料。</w:t>
      </w:r>
    </w:p>
    <w:p>
      <w:pPr>
        <w:tabs>
          <w:tab w:val="left" w:pos="900"/>
        </w:tabs>
        <w:adjustRightInd w:val="0"/>
        <w:snapToGrid w:val="0"/>
        <w:spacing w:line="360" w:lineRule="auto"/>
        <w:ind w:firstLine="420" w:firstLineChars="200"/>
        <w:rPr>
          <w:rFonts w:hint="eastAsia" w:ascii="宋体" w:hAnsi="宋体" w:cs="宋体"/>
          <w:color w:val="auto"/>
          <w:highlight w:val="none"/>
          <w:lang w:eastAsia="zh-CN"/>
        </w:rPr>
      </w:pPr>
    </w:p>
    <w:p>
      <w:pPr>
        <w:tabs>
          <w:tab w:val="left" w:pos="900"/>
        </w:tabs>
        <w:adjustRightInd w:val="0"/>
        <w:snapToGrid w:val="0"/>
        <w:spacing w:line="360" w:lineRule="auto"/>
        <w:ind w:firstLine="420" w:firstLineChars="200"/>
        <w:rPr>
          <w:rFonts w:ascii="宋体" w:hAnsi="Times New Roman" w:cs="宋体"/>
          <w:b/>
          <w:color w:val="auto"/>
          <w:highlight w:val="none"/>
        </w:rPr>
      </w:pPr>
      <w:r>
        <w:rPr>
          <w:rFonts w:hint="eastAsia" w:ascii="宋体" w:hAnsi="宋体" w:cs="宋体"/>
          <w:color w:val="auto"/>
          <w:highlight w:val="none"/>
        </w:rPr>
        <w:t>编排</w:t>
      </w:r>
      <w:r>
        <w:rPr>
          <w:rFonts w:hint="eastAsia" w:ascii="宋体" w:hAnsi="宋体" w:cs="宋体"/>
          <w:color w:val="auto"/>
          <w:highlight w:val="none"/>
          <w:lang w:val="en-US" w:eastAsia="zh-CN"/>
        </w:rPr>
        <w:t>格式</w:t>
      </w:r>
      <w:r>
        <w:rPr>
          <w:rFonts w:hint="eastAsia" w:ascii="宋体" w:hAnsi="宋体" w:cs="宋体"/>
          <w:color w:val="auto"/>
          <w:highlight w:val="none"/>
        </w:rPr>
        <w:t>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hint="default"/>
          <w:lang w:val="en-US" w:eastAsia="zh-CN"/>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9" w:name="_Toc378586971"/>
      <w:r>
        <w:rPr>
          <w:rFonts w:hint="eastAsia" w:ascii="宋体" w:hAnsi="宋体" w:cs="宋体"/>
          <w:b/>
        </w:rPr>
        <w:t>1</w:t>
      </w:r>
      <w:r>
        <w:rPr>
          <w:rFonts w:hint="eastAsia" w:ascii="宋体" w:hAnsi="宋体" w:cs="宋体"/>
          <w:b/>
          <w:lang w:val="en-US" w:eastAsia="zh-CN"/>
        </w:rPr>
        <w:t>2</w:t>
      </w:r>
      <w:bookmarkEnd w:id="29"/>
      <w:r>
        <w:rPr>
          <w:rFonts w:hint="eastAsia" w:ascii="宋体" w:hAnsi="宋体" w:cs="宋体"/>
          <w:b/>
          <w:lang w:val="en-US" w:eastAsia="zh-CN"/>
        </w:rPr>
        <w:t>.</w:t>
      </w:r>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30" w:name="_Hlk36653371"/>
      <w:r>
        <w:rPr>
          <w:rFonts w:hint="eastAsia" w:ascii="宋体" w:hAnsi="宋体" w:cs="宋体"/>
        </w:rPr>
        <w:t>1</w:t>
      </w:r>
      <w:r>
        <w:rPr>
          <w:rFonts w:ascii="宋体" w:hAnsi="宋体" w:cs="宋体"/>
        </w:rPr>
        <w:t>2.1</w:t>
      </w:r>
      <w:bookmarkEnd w:id="30"/>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31" w:name="_Toc448133312"/>
      <w:bookmarkStart w:id="32" w:name="_Toc6491"/>
      <w:bookmarkStart w:id="33" w:name="_Toc453493035"/>
      <w:bookmarkStart w:id="34" w:name="_Toc454458056"/>
      <w:r>
        <w:rPr>
          <w:rFonts w:hint="eastAsia" w:cs="宋体"/>
          <w:sz w:val="30"/>
          <w:szCs w:val="30"/>
        </w:rPr>
        <w:t>四、响应文件的递交</w:t>
      </w:r>
      <w:bookmarkEnd w:id="31"/>
      <w:bookmarkEnd w:id="32"/>
      <w:bookmarkEnd w:id="33"/>
      <w:bookmarkEnd w:id="34"/>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2"/>
        </w:numPr>
        <w:adjustRightInd w:val="0"/>
        <w:snapToGrid w:val="0"/>
        <w:spacing w:before="0" w:after="0" w:line="360" w:lineRule="auto"/>
        <w:jc w:val="center"/>
        <w:rPr>
          <w:sz w:val="30"/>
          <w:szCs w:val="30"/>
        </w:rPr>
      </w:pPr>
      <w:bookmarkStart w:id="35" w:name="_Toc448133313"/>
      <w:bookmarkStart w:id="36" w:name="_Toc453493036"/>
      <w:bookmarkStart w:id="37" w:name="_Toc454458057"/>
      <w:bookmarkStart w:id="38" w:name="_Toc26439"/>
      <w:r>
        <w:rPr>
          <w:rFonts w:hint="eastAsia" w:cs="宋体"/>
          <w:sz w:val="30"/>
          <w:szCs w:val="30"/>
        </w:rPr>
        <w:t>询价流程</w:t>
      </w:r>
      <w:bookmarkEnd w:id="35"/>
      <w:bookmarkEnd w:id="36"/>
      <w:bookmarkEnd w:id="37"/>
      <w:bookmarkEnd w:id="3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询价小组共3人，由</w:t>
      </w:r>
      <w:bookmarkStart w:id="39" w:name="_Hlk42790008"/>
      <w:r>
        <w:rPr>
          <w:rFonts w:hint="eastAsia" w:ascii="宋体" w:hAnsi="宋体" w:cs="宋体"/>
          <w:color w:val="000000"/>
        </w:rPr>
        <w:t>项目部门代表</w:t>
      </w:r>
      <w:bookmarkEnd w:id="39"/>
      <w:r>
        <w:rPr>
          <w:rFonts w:hint="eastAsia" w:ascii="宋体" w:hAnsi="宋体" w:cs="宋体"/>
          <w:color w:val="000000"/>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40" w:name="_Hlk42842751"/>
      <w:r>
        <w:rPr>
          <w:rFonts w:hint="eastAsia" w:ascii="宋体" w:hAnsi="宋体" w:cs="宋体"/>
          <w:b/>
          <w:bCs/>
        </w:rPr>
        <w:t>18.</w:t>
      </w:r>
      <w:r>
        <w:rPr>
          <w:rFonts w:ascii="宋体" w:hAnsi="宋体" w:cs="宋体"/>
          <w:b/>
          <w:bCs/>
        </w:rPr>
        <w:t>8</w:t>
      </w:r>
      <w:bookmarkEnd w:id="40"/>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4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41"/>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4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2"/>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4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3"/>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4"/>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5"/>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hint="eastAsia" w:ascii="宋体" w:hAnsi="宋体" w:cs="宋体"/>
          <w:b/>
        </w:rPr>
      </w:pPr>
      <w:bookmarkStart w:id="46" w:name="_Toc31343"/>
      <w:bookmarkStart w:id="47" w:name="_Toc433127783"/>
      <w:r>
        <w:rPr>
          <w:rFonts w:hint="eastAsia" w:ascii="宋体" w:hAnsi="宋体" w:cs="宋体"/>
          <w:b/>
        </w:rPr>
        <w:t>21.询问、质疑、投诉</w:t>
      </w:r>
      <w:bookmarkEnd w:id="46"/>
      <w:bookmarkEnd w:id="47"/>
    </w:p>
    <w:p>
      <w:pPr>
        <w:autoSpaceDE w:val="0"/>
        <w:autoSpaceDN w:val="0"/>
        <w:adjustRightInd w:val="0"/>
        <w:snapToGrid w:val="0"/>
        <w:spacing w:line="360" w:lineRule="auto"/>
        <w:ind w:firstLine="413" w:firstLineChars="196"/>
        <w:outlineLvl w:val="0"/>
        <w:rPr>
          <w:rFonts w:ascii="宋体" w:hAnsi="Times New Roman" w:cs="宋体"/>
          <w:b/>
        </w:rPr>
      </w:pPr>
      <w:bookmarkStart w:id="48" w:name="_Toc1886"/>
      <w:r>
        <w:rPr>
          <w:rFonts w:hint="eastAsia" w:ascii="宋体" w:hAnsi="宋体" w:cs="宋体"/>
          <w:b/>
        </w:rPr>
        <w:t>21.1询问</w:t>
      </w:r>
      <w:bookmarkEnd w:id="48"/>
    </w:p>
    <w:p>
      <w:pPr>
        <w:autoSpaceDE w:val="0"/>
        <w:autoSpaceDN w:val="0"/>
        <w:adjustRightInd w:val="0"/>
        <w:snapToGrid w:val="0"/>
        <w:spacing w:line="360" w:lineRule="auto"/>
        <w:ind w:firstLine="411" w:firstLineChars="196"/>
        <w:outlineLvl w:val="0"/>
        <w:rPr>
          <w:rFonts w:ascii="宋体" w:hAnsi="Times New Roman" w:cs="宋体"/>
          <w:b/>
        </w:rPr>
      </w:pPr>
      <w:bookmarkStart w:id="49" w:name="_Toc5581"/>
      <w:r>
        <w:rPr>
          <w:rFonts w:hint="eastAsia" w:ascii="宋体" w:hAnsi="宋体" w:cs="宋体"/>
        </w:rPr>
        <w:t>21.1.1供应商对采购活动事项有疑问的，可以向采购单位提出询问，询问可以口头方式提出，也可以书面方式提出。</w:t>
      </w:r>
      <w:bookmarkEnd w:id="49"/>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50" w:name="_Toc29058"/>
      <w:r>
        <w:rPr>
          <w:rFonts w:hint="eastAsia" w:ascii="宋体" w:hAnsi="宋体" w:cs="宋体"/>
          <w:b/>
        </w:rPr>
        <w:t>21.2质疑</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5451"/>
      <w:r>
        <w:rPr>
          <w:rFonts w:hint="eastAsia" w:ascii="宋体" w:hAnsi="宋体" w:cs="宋体"/>
        </w:rPr>
        <w:t>21.2.1质疑期限：</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24930"/>
      <w:r>
        <w:rPr>
          <w:rFonts w:hint="eastAsia" w:ascii="宋体" w:hAnsi="宋体" w:cs="宋体"/>
        </w:rPr>
        <w:t>21.2.1.1供应商认为采购文件的内容损害其权益的，应在收到采购文件之日或者采购文件公告期届满之日起七个工作日内。</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561"/>
      <w:r>
        <w:rPr>
          <w:rFonts w:hint="eastAsia" w:ascii="宋体" w:hAnsi="宋体" w:cs="宋体"/>
        </w:rPr>
        <w:t>21.2.1.2供应商认为采购过程损害其权益的，应在各采购程序环节结束之日起七个工作日内。</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0026"/>
      <w:r>
        <w:rPr>
          <w:rFonts w:hint="eastAsia" w:ascii="宋体" w:hAnsi="宋体" w:cs="宋体"/>
        </w:rPr>
        <w:t>21.2.1.3 供应商认为中标或者成交结果损害其权益的，应在中标或者成交结果公告期限届满之日起七个工作日内。</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26033"/>
      <w:r>
        <w:rPr>
          <w:rFonts w:hint="eastAsia" w:ascii="宋体" w:hAnsi="宋体" w:cs="宋体"/>
        </w:rPr>
        <w:t>21.2.2提交要求：</w:t>
      </w:r>
      <w:bookmarkEnd w:id="55"/>
    </w:p>
    <w:p>
      <w:pPr>
        <w:autoSpaceDE w:val="0"/>
        <w:autoSpaceDN w:val="0"/>
        <w:adjustRightInd w:val="0"/>
        <w:snapToGrid w:val="0"/>
        <w:spacing w:line="360" w:lineRule="auto"/>
        <w:ind w:firstLine="411" w:firstLineChars="196"/>
        <w:outlineLvl w:val="0"/>
        <w:rPr>
          <w:rFonts w:ascii="宋体" w:hAnsi="宋体" w:cs="宋体"/>
        </w:rPr>
      </w:pPr>
      <w:bookmarkStart w:id="56" w:name="_Toc22473"/>
      <w:r>
        <w:rPr>
          <w:rFonts w:hint="eastAsia" w:ascii="宋体" w:hAnsi="宋体" w:cs="宋体"/>
        </w:rPr>
        <w:t>21.2.2.1 以书面形式（加盖供应商公章）向采购人提出质疑，供应商以电话、传真或电邮形式提交的质疑属于无效质疑。</w:t>
      </w:r>
      <w:bookmarkEnd w:id="56"/>
    </w:p>
    <w:p>
      <w:pPr>
        <w:autoSpaceDE w:val="0"/>
        <w:autoSpaceDN w:val="0"/>
        <w:adjustRightInd w:val="0"/>
        <w:snapToGrid w:val="0"/>
        <w:spacing w:line="360" w:lineRule="auto"/>
        <w:ind w:firstLine="411" w:firstLineChars="196"/>
        <w:outlineLvl w:val="0"/>
        <w:rPr>
          <w:rFonts w:ascii="宋体" w:hAnsi="宋体" w:cs="宋体"/>
        </w:rPr>
      </w:pPr>
      <w:bookmarkStart w:id="57"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pPr>
        <w:autoSpaceDE w:val="0"/>
        <w:autoSpaceDN w:val="0"/>
        <w:adjustRightInd w:val="0"/>
        <w:snapToGrid w:val="0"/>
        <w:spacing w:line="360" w:lineRule="auto"/>
        <w:ind w:firstLine="411" w:firstLineChars="196"/>
        <w:outlineLvl w:val="0"/>
        <w:rPr>
          <w:rFonts w:ascii="宋体" w:hAnsi="宋体" w:cs="宋体"/>
        </w:rPr>
      </w:pPr>
      <w:bookmarkStart w:id="58"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pPr>
        <w:autoSpaceDE w:val="0"/>
        <w:autoSpaceDN w:val="0"/>
        <w:adjustRightInd w:val="0"/>
        <w:snapToGrid w:val="0"/>
        <w:spacing w:line="360" w:lineRule="auto"/>
        <w:ind w:firstLine="411" w:firstLineChars="196"/>
        <w:outlineLvl w:val="0"/>
        <w:rPr>
          <w:rFonts w:ascii="宋体" w:hAnsi="宋体" w:cs="宋体"/>
        </w:rPr>
      </w:pPr>
      <w:bookmarkStart w:id="59"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9"/>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60" w:name="_Toc454458058"/>
      <w:bookmarkStart w:id="61" w:name="_Toc8524"/>
      <w:bookmarkStart w:id="62" w:name="_Toc448133314"/>
      <w:bookmarkStart w:id="63" w:name="_Toc453493037"/>
      <w:r>
        <w:rPr>
          <w:rFonts w:hint="eastAsia" w:cs="宋体"/>
          <w:sz w:val="30"/>
          <w:szCs w:val="30"/>
        </w:rPr>
        <w:t>六、授予合同</w:t>
      </w:r>
      <w:bookmarkEnd w:id="60"/>
      <w:bookmarkEnd w:id="61"/>
      <w:bookmarkEnd w:id="62"/>
      <w:bookmarkEnd w:id="6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4" w:name="_Toc378586990"/>
      <w:r>
        <w:rPr>
          <w:rFonts w:hint="eastAsia" w:ascii="宋体" w:hAnsi="宋体" w:cs="宋体"/>
          <w:b/>
        </w:rPr>
        <w:t>23.合同的履行</w:t>
      </w:r>
      <w:bookmarkEnd w:id="64"/>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w:t>
            </w:r>
            <w:r>
              <w:rPr>
                <w:rFonts w:hint="eastAsia" w:ascii="宋体" w:hAnsi="宋体" w:cs="宋体"/>
                <w:lang w:val="en-US" w:eastAsia="zh-CN"/>
              </w:rPr>
              <w:t>询价公告</w:t>
            </w:r>
            <w:r>
              <w:rPr>
                <w:rFonts w:hint="eastAsia" w:ascii="宋体" w:hAnsi="宋体" w:cs="宋体"/>
              </w:rPr>
              <w:t>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pP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bidi w:val="0"/>
        <w:jc w:val="center"/>
        <w:rPr>
          <w:sz w:val="36"/>
          <w:szCs w:val="36"/>
        </w:rPr>
      </w:pPr>
      <w:bookmarkStart w:id="65" w:name="_Toc50737322"/>
      <w:bookmarkStart w:id="66" w:name="_Toc50737290"/>
      <w:bookmarkStart w:id="67" w:name="_Toc50691023"/>
      <w:bookmarkStart w:id="68" w:name="_Toc50736470"/>
      <w:bookmarkStart w:id="69" w:name="_Toc87417452"/>
      <w:bookmarkStart w:id="70" w:name="_Toc454458060"/>
      <w:bookmarkStart w:id="71" w:name="_Toc4423"/>
      <w:bookmarkStart w:id="72" w:name="_Toc43264513"/>
      <w:r>
        <w:rPr>
          <w:rFonts w:hint="eastAsia"/>
          <w:sz w:val="36"/>
          <w:szCs w:val="36"/>
        </w:rPr>
        <w:t>第四章 合同</w:t>
      </w:r>
      <w:bookmarkEnd w:id="65"/>
      <w:bookmarkEnd w:id="66"/>
      <w:bookmarkEnd w:id="67"/>
      <w:bookmarkEnd w:id="68"/>
      <w:bookmarkEnd w:id="69"/>
      <w:bookmarkEnd w:id="70"/>
      <w:r>
        <w:rPr>
          <w:rFonts w:hint="eastAsia"/>
          <w:sz w:val="36"/>
          <w:szCs w:val="36"/>
        </w:rPr>
        <w:t>格式</w:t>
      </w:r>
      <w:bookmarkEnd w:id="71"/>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72"/>
    <w:p>
      <w:pPr>
        <w:pStyle w:val="3"/>
        <w:spacing w:line="360" w:lineRule="auto"/>
        <w:jc w:val="center"/>
        <w:rPr>
          <w:rFonts w:ascii="宋体"/>
          <w:sz w:val="52"/>
          <w:szCs w:val="52"/>
        </w:rPr>
      </w:pPr>
      <w:bookmarkStart w:id="73" w:name="_Toc17156"/>
      <w:r>
        <w:rPr>
          <w:rFonts w:hint="eastAsia" w:ascii="宋体" w:hAnsi="宋体" w:cs="宋体"/>
          <w:sz w:val="52"/>
          <w:szCs w:val="52"/>
        </w:rPr>
        <w:t>合　同　书</w:t>
      </w:r>
      <w:bookmarkEnd w:id="73"/>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color w:val="FF0000"/>
        </w:rPr>
      </w:pPr>
      <w:bookmarkStart w:id="74" w:name="_Hlk38299433"/>
      <w:r>
        <w:rPr>
          <w:rFonts w:hint="eastAsia" w:ascii="宋体" w:hAnsi="宋体" w:cs="宋体"/>
          <w:b/>
          <w:bCs/>
          <w:color w:val="FF0000"/>
        </w:rPr>
        <w:t>注：合同签订双方根据项目的具体要求进行修订，不作统一格式要求。</w:t>
      </w:r>
    </w:p>
    <w:bookmarkEnd w:id="74"/>
    <w:p>
      <w:pPr>
        <w:rPr>
          <w:rFonts w:ascii="宋体" w:hAnsi="Times New Roman"/>
        </w:rPr>
        <w:sectPr>
          <w:pgSz w:w="11906" w:h="16838"/>
          <w:pgMar w:top="1135" w:right="1135" w:bottom="1135" w:left="1135" w:header="685" w:footer="567" w:gutter="0"/>
          <w:cols w:space="720" w:num="1"/>
          <w:docGrid w:type="lines" w:linePitch="312" w:charSpace="0"/>
        </w:sectPr>
      </w:pPr>
    </w:p>
    <w:p>
      <w:pPr>
        <w:pStyle w:val="3"/>
        <w:bidi w:val="0"/>
        <w:jc w:val="center"/>
        <w:rPr>
          <w:sz w:val="36"/>
          <w:szCs w:val="36"/>
        </w:rPr>
      </w:pPr>
      <w:bookmarkStart w:id="75" w:name="_Toc43264514"/>
      <w:bookmarkEnd w:id="75"/>
      <w:bookmarkStart w:id="76" w:name="_Toc87417454"/>
      <w:bookmarkStart w:id="77" w:name="_Toc50736472"/>
      <w:bookmarkStart w:id="78" w:name="_Toc50737324"/>
      <w:bookmarkStart w:id="79" w:name="_Toc454458061"/>
      <w:bookmarkStart w:id="80" w:name="_Toc50737292"/>
      <w:bookmarkStart w:id="81" w:name="_Toc30130"/>
      <w:bookmarkStart w:id="82" w:name="_Toc50691026"/>
      <w:r>
        <w:rPr>
          <w:rFonts w:hint="eastAsia"/>
          <w:sz w:val="36"/>
          <w:szCs w:val="36"/>
        </w:rPr>
        <w:t>第五章 响应文件格式</w:t>
      </w:r>
      <w:bookmarkEnd w:id="76"/>
      <w:bookmarkEnd w:id="77"/>
      <w:bookmarkEnd w:id="78"/>
      <w:bookmarkEnd w:id="79"/>
      <w:bookmarkEnd w:id="80"/>
      <w:bookmarkEnd w:id="81"/>
      <w:bookmarkEnd w:id="82"/>
    </w:p>
    <w:p>
      <w:pPr>
        <w:pStyle w:val="2"/>
        <w:widowControl/>
        <w:spacing w:line="440" w:lineRule="exact"/>
        <w:jc w:val="center"/>
        <w:rPr>
          <w:rFonts w:ascii="宋体" w:hAnsi="宋体" w:eastAsia="宋体" w:cs="宋体"/>
          <w:b w:val="0"/>
        </w:rPr>
      </w:pPr>
      <w:bookmarkStart w:id="83" w:name="_Toc448133318"/>
      <w:bookmarkStart w:id="84" w:name="_Toc453493041"/>
      <w:bookmarkStart w:id="85" w:name="_Toc454458062"/>
      <w:bookmarkStart w:id="86" w:name="_Toc321408662"/>
      <w:r>
        <w:rPr>
          <w:rFonts w:hint="eastAsia" w:ascii="宋体" w:hAnsi="宋体" w:eastAsia="宋体" w:cs="宋体"/>
          <w:b w:val="0"/>
        </w:rPr>
        <w:t>响应文件封面</w:t>
      </w:r>
      <w:bookmarkEnd w:id="83"/>
      <w:bookmarkEnd w:id="84"/>
      <w:bookmarkEnd w:id="85"/>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pPr>
        <w:outlineLvl w:val="1"/>
        <w:rPr>
          <w:rFonts w:ascii="宋体" w:hAnsi="Times New Roman" w:cs="宋体"/>
          <w:color w:val="FF0000"/>
          <w:kern w:val="0"/>
        </w:rPr>
      </w:pPr>
    </w:p>
    <w:p>
      <w:pPr>
        <w:pStyle w:val="34"/>
        <w:ind w:firstLine="210"/>
      </w:pPr>
    </w:p>
    <w:p>
      <w:pPr>
        <w:pStyle w:val="31"/>
        <w:widowControl w:val="0"/>
        <w:numPr>
          <w:ilvl w:val="0"/>
          <w:numId w:val="3"/>
        </w:numPr>
        <w:spacing w:before="0" w:beforeAutospacing="0" w:after="0" w:afterAutospacing="0"/>
        <w:rPr>
          <w:rFonts w:ascii="Arial" w:hAnsi="Arial" w:eastAsia="黑体"/>
          <w:sz w:val="28"/>
          <w:szCs w:val="28"/>
        </w:rPr>
      </w:pPr>
      <w:bookmarkStart w:id="87" w:name="_Toc50691028"/>
      <w:bookmarkStart w:id="88" w:name="_Toc168212179"/>
      <w:bookmarkStart w:id="89" w:name="_Toc50736473"/>
      <w:bookmarkStart w:id="90" w:name="_Toc50737293"/>
      <w:bookmarkStart w:id="91" w:name="_Toc52165077"/>
      <w:bookmarkStart w:id="92" w:name="_Toc50737325"/>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7"/>
      <w:bookmarkEnd w:id="88"/>
      <w:bookmarkEnd w:id="89"/>
      <w:bookmarkEnd w:id="90"/>
      <w:bookmarkEnd w:id="91"/>
      <w:bookmarkEnd w:id="92"/>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3"/>
        </w:numPr>
        <w:spacing w:line="400" w:lineRule="exact"/>
        <w:rPr>
          <w:rFonts w:ascii="黑体" w:hAnsi="Times New Roman" w:eastAsia="黑体" w:cs="黑体"/>
          <w:sz w:val="28"/>
          <w:szCs w:val="28"/>
        </w:rPr>
      </w:pPr>
      <w:bookmarkStart w:id="93" w:name="_Toc43264516"/>
      <w:bookmarkStart w:id="94" w:name="_Toc50691029"/>
      <w:bookmarkStart w:id="95" w:name="_Toc50703722"/>
    </w:p>
    <w:p>
      <w:pPr>
        <w:jc w:val="center"/>
        <w:outlineLvl w:val="1"/>
        <w:rPr>
          <w:rFonts w:ascii="黑体" w:hAnsi="宋体" w:eastAsia="黑体" w:cs="黑体"/>
          <w:kern w:val="0"/>
          <w:sz w:val="32"/>
          <w:szCs w:val="32"/>
        </w:rPr>
      </w:pPr>
      <w:bookmarkStart w:id="96" w:name="_Toc237145559"/>
      <w:r>
        <w:rPr>
          <w:rFonts w:hint="eastAsia" w:ascii="黑体" w:hAnsi="宋体" w:eastAsia="黑体" w:cs="黑体"/>
          <w:kern w:val="0"/>
          <w:sz w:val="32"/>
          <w:szCs w:val="32"/>
        </w:rPr>
        <w:t>供应商资格声明函</w:t>
      </w:r>
      <w:bookmarkEnd w:id="96"/>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w:t>
      </w:r>
      <w:r>
        <w:rPr>
          <w:rFonts w:hint="eastAsia" w:ascii="Times New Roman" w:hAnsi="Times New Roman" w:eastAsia="宋体" w:cs="宋体"/>
        </w:rPr>
        <w:t>（重大违法记录是指供应商因违法经营受到刑事处罚或者责令停产停业、吊销许可证或者执照、较大数额罚款等行政处罚）</w:t>
      </w:r>
      <w:r>
        <w:rPr>
          <w:rFonts w:hint="eastAsia" w:ascii="Times New Roman" w:hAnsi="Times New Roman" w:eastAsia="宋体" w:cs="宋体"/>
          <w:lang w:eastAsia="zh-CN"/>
        </w:rPr>
        <w:t>，</w:t>
      </w:r>
      <w:r>
        <w:rPr>
          <w:rFonts w:hint="eastAsia" w:ascii="Times New Roman" w:hAnsi="Times New Roman" w:eastAsia="宋体" w:cs="宋体"/>
        </w:rPr>
        <w:t>未被列入失信被执行人、重大税收违法案件当事人名单、政府采购严重违法失信行为记录名单，完全符合《中华人民共和国政府采购法》第二十二条规定的供应商资格条件，我方对此声明负全部法律责任</w:t>
      </w:r>
      <w:r>
        <w:rPr>
          <w:rFonts w:hint="eastAsia" w:ascii="Times New Roman" w:hAnsi="Times New Roman" w:cs="宋体"/>
        </w:rPr>
        <w:t>；</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34"/>
        <w:ind w:firstLine="210"/>
        <w:rPr>
          <w:lang w:val="zh-CN"/>
        </w:rPr>
      </w:pPr>
    </w:p>
    <w:p>
      <w:pPr>
        <w:pStyle w:val="34"/>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w:t>
      </w:r>
      <w:r>
        <w:rPr>
          <w:rFonts w:hint="eastAsia" w:ascii="宋体" w:hAnsi="宋体" w:eastAsia="宋体" w:cs="宋体"/>
          <w:lang w:eastAsia="zh-CN"/>
        </w:rPr>
        <w:t>、</w:t>
      </w:r>
      <w:r>
        <w:rPr>
          <w:rFonts w:hint="eastAsia" w:ascii="宋体" w:hAnsi="宋体" w:eastAsia="宋体" w:cs="宋体"/>
        </w:rPr>
        <w:t>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7"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eastAsia="zh-CN"/>
        </w:rPr>
      </w:pPr>
    </w:p>
    <w:p>
      <w:pPr>
        <w:rPr>
          <w:lang w:val="zh-CN" w:eastAsia="zh-CN"/>
        </w:rPr>
      </w:pPr>
    </w:p>
    <w:p>
      <w:pPr>
        <w:rPr>
          <w:lang w:val="zh-CN" w:eastAsia="zh-CN"/>
        </w:rPr>
      </w:pPr>
    </w:p>
    <w:p>
      <w:pPr>
        <w:rPr>
          <w:rFonts w:cs="Times New Roman"/>
        </w:rPr>
      </w:pPr>
    </w:p>
    <w:p>
      <w:pPr>
        <w:pStyle w:val="3"/>
        <w:spacing w:line="360" w:lineRule="auto"/>
        <w:jc w:val="center"/>
        <w:rPr>
          <w:rFonts w:ascii="宋体"/>
        </w:rPr>
      </w:pPr>
      <w:bookmarkStart w:id="98" w:name="_Toc24361"/>
      <w:r>
        <w:rPr>
          <w:rFonts w:hint="eastAsia" w:ascii="宋体" w:hAnsi="宋体" w:cs="宋体"/>
          <w:sz w:val="32"/>
          <w:szCs w:val="32"/>
        </w:rPr>
        <w:t>法定代表人授权委托书</w:t>
      </w:r>
      <w:bookmarkEnd w:id="97"/>
      <w:bookmarkEnd w:id="98"/>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spacing w:line="460" w:lineRule="exact"/>
        <w:rPr>
          <w:b/>
          <w:color w:val="000000"/>
        </w:rPr>
      </w:pPr>
    </w:p>
    <w:p>
      <w:pPr>
        <w:spacing w:line="460" w:lineRule="exact"/>
        <w:rPr>
          <w:b/>
          <w:color w:val="000000"/>
        </w:rPr>
      </w:pPr>
    </w:p>
    <w:p>
      <w:pPr>
        <w:rPr>
          <w:b/>
          <w:color w:val="000000"/>
        </w:rPr>
      </w:pPr>
    </w:p>
    <w:p>
      <w:pPr>
        <w:rPr>
          <w:b/>
          <w:color w:val="000000"/>
        </w:rPr>
      </w:pPr>
    </w:p>
    <w:p>
      <w:pPr>
        <w:rPr>
          <w:b/>
          <w:color w:val="000000"/>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bookmarkStart w:id="99" w:name="_Toc21165"/>
      <w:r>
        <w:rPr>
          <w:rFonts w:hint="eastAsia" w:ascii="宋体" w:hAnsi="宋体" w:cs="宋体"/>
          <w:sz w:val="32"/>
          <w:szCs w:val="32"/>
        </w:rPr>
        <w:t>报价表</w:t>
      </w:r>
      <w:bookmarkEnd w:id="99"/>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100"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cs="Arial"/>
                <w:bCs/>
              </w:rPr>
              <w:t>广西南宁技师学院XX系采购</w:t>
            </w:r>
            <w:r>
              <w:rPr>
                <w:rFonts w:cs="Arial"/>
                <w:bCs/>
              </w:rPr>
              <w:t>XX年</w:t>
            </w:r>
            <w:r>
              <w:rPr>
                <w:rFonts w:hint="eastAsia" w:cs="Arial"/>
                <w:bCs/>
              </w:rPr>
              <w:t xml:space="preserve"> </w:t>
            </w:r>
            <w:r>
              <w:rPr>
                <w:rFonts w:cs="Arial"/>
                <w:bCs/>
              </w:rPr>
              <w:t xml:space="preserve"> XX学期XX专业</w:t>
            </w:r>
            <w:r>
              <w:rPr>
                <w:rFonts w:hint="eastAsia" w:cs="Arial"/>
                <w:bCs/>
              </w:rPr>
              <w:t>实习材料采购项目</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100"/>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5"/>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5"/>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3"/>
        </w:numPr>
        <w:spacing w:line="400" w:lineRule="exact"/>
        <w:rPr>
          <w:rFonts w:ascii="黑体" w:hAnsi="Times New Roman" w:eastAsia="黑体" w:cs="黑体"/>
          <w:sz w:val="28"/>
          <w:szCs w:val="28"/>
        </w:rPr>
      </w:pPr>
      <w:r>
        <w:br w:type="page"/>
      </w:r>
      <w:bookmarkStart w:id="101" w:name="_Hlk38364591"/>
      <w:bookmarkStart w:id="102" w:name="_Toc16324"/>
    </w:p>
    <w:p>
      <w:pPr>
        <w:pStyle w:val="2"/>
        <w:jc w:val="center"/>
      </w:pPr>
      <w:r>
        <w:rPr>
          <w:rFonts w:hint="eastAsia" w:ascii="宋体" w:hAnsi="宋体" w:eastAsia="宋体" w:cs="宋体"/>
          <w:sz w:val="24"/>
          <w:szCs w:val="24"/>
        </w:rPr>
        <w:t>（二）</w:t>
      </w:r>
      <w:bookmarkEnd w:id="101"/>
      <w:r>
        <w:rPr>
          <w:rFonts w:hint="eastAsia" w:ascii="宋体" w:hAnsi="宋体" w:eastAsia="宋体" w:cs="宋体"/>
          <w:sz w:val="24"/>
          <w:szCs w:val="24"/>
        </w:rPr>
        <w:t>、报价明细报价表</w:t>
      </w:r>
      <w:bookmarkEnd w:id="102"/>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rPr>
            </w:pPr>
            <w:r>
              <w:rPr>
                <w:rFonts w:hint="eastAsia" w:hAnsi="宋体" w:cs="宋体"/>
              </w:rPr>
              <w:t>序号</w:t>
            </w:r>
          </w:p>
        </w:tc>
        <w:tc>
          <w:tcPr>
            <w:tcW w:w="1513" w:type="dxa"/>
            <w:vAlign w:val="center"/>
          </w:tcPr>
          <w:p>
            <w:pPr>
              <w:adjustRightInd w:val="0"/>
              <w:snapToGrid w:val="0"/>
              <w:jc w:val="center"/>
              <w:rPr>
                <w:rFonts w:hAnsi="宋体" w:cs="Times New Roman"/>
              </w:rPr>
            </w:pPr>
            <w:r>
              <w:rPr>
                <w:rFonts w:hint="eastAsia" w:hAnsi="宋体" w:cs="宋体"/>
              </w:rPr>
              <w:t>货物名称</w:t>
            </w:r>
          </w:p>
        </w:tc>
        <w:tc>
          <w:tcPr>
            <w:tcW w:w="3271" w:type="dxa"/>
            <w:vAlign w:val="center"/>
          </w:tcPr>
          <w:p>
            <w:pPr>
              <w:adjustRightInd w:val="0"/>
              <w:snapToGrid w:val="0"/>
              <w:jc w:val="center"/>
              <w:rPr>
                <w:rFonts w:hAnsi="宋体" w:cs="Times New Roman"/>
              </w:rPr>
            </w:pPr>
            <w:r>
              <w:rPr>
                <w:rFonts w:hAnsi="宋体" w:cs="Times New Roman"/>
              </w:rPr>
              <w:t>规格、型号</w:t>
            </w:r>
          </w:p>
        </w:tc>
        <w:tc>
          <w:tcPr>
            <w:tcW w:w="933" w:type="dxa"/>
          </w:tcPr>
          <w:p>
            <w:pPr>
              <w:adjustRightInd w:val="0"/>
              <w:snapToGrid w:val="0"/>
              <w:jc w:val="center"/>
              <w:rPr>
                <w:rFonts w:hAnsi="宋体" w:cs="宋体"/>
              </w:rPr>
            </w:pPr>
            <w:r>
              <w:rPr>
                <w:rFonts w:hint="eastAsia" w:hAnsi="宋体" w:cs="宋体"/>
              </w:rPr>
              <w:t>单位</w:t>
            </w:r>
          </w:p>
        </w:tc>
        <w:tc>
          <w:tcPr>
            <w:tcW w:w="933" w:type="dxa"/>
            <w:vAlign w:val="center"/>
          </w:tcPr>
          <w:p>
            <w:pPr>
              <w:adjustRightInd w:val="0"/>
              <w:snapToGrid w:val="0"/>
              <w:jc w:val="center"/>
              <w:rPr>
                <w:rFonts w:hAnsi="宋体" w:cs="Times New Roman"/>
              </w:rPr>
            </w:pPr>
            <w:r>
              <w:rPr>
                <w:rFonts w:hint="eastAsia" w:hAnsi="宋体" w:cs="宋体"/>
              </w:rPr>
              <w:t>数量</w:t>
            </w:r>
          </w:p>
        </w:tc>
        <w:tc>
          <w:tcPr>
            <w:tcW w:w="1079" w:type="dxa"/>
            <w:vAlign w:val="center"/>
          </w:tcPr>
          <w:p>
            <w:pPr>
              <w:adjustRightInd w:val="0"/>
              <w:snapToGrid w:val="0"/>
              <w:jc w:val="center"/>
              <w:rPr>
                <w:rFonts w:hAnsi="宋体" w:cs="Times New Roman"/>
              </w:rPr>
            </w:pPr>
            <w:r>
              <w:rPr>
                <w:rFonts w:hint="eastAsia" w:hAnsi="宋体" w:cs="宋体"/>
              </w:rPr>
              <w:t>单价</w:t>
            </w:r>
          </w:p>
        </w:tc>
        <w:tc>
          <w:tcPr>
            <w:tcW w:w="1352" w:type="dxa"/>
            <w:vAlign w:val="center"/>
          </w:tcPr>
          <w:p>
            <w:pPr>
              <w:adjustRightInd w:val="0"/>
              <w:snapToGrid w:val="0"/>
              <w:jc w:val="center"/>
              <w:rPr>
                <w:rFonts w:hAnsi="宋体" w:cs="Times New Roman"/>
              </w:rPr>
            </w:pPr>
            <w:r>
              <w:rPr>
                <w:rFonts w:hint="eastAsia" w:hAnsi="宋体" w:cs="宋体"/>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1</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2</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3</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cs="宋体"/>
              </w:rPr>
              <w:t>?-</w:t>
            </w:r>
            <w:r>
              <w:rPr>
                <w:rFonts w:hAnsi="宋体"/>
              </w:rPr>
              <w:t>..</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pPr>
              <w:adjustRightInd w:val="0"/>
              <w:snapToGrid w:val="0"/>
              <w:jc w:val="center"/>
              <w:rPr>
                <w:rFonts w:hAnsi="宋体"/>
              </w:rPr>
            </w:pPr>
            <w:r>
              <w:rPr>
                <w:rFonts w:hAnsi="宋体" w:cs="宋体"/>
              </w:rPr>
              <w:t>数量合计：</w:t>
            </w: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2431" w:type="dxa"/>
            <w:gridSpan w:val="2"/>
            <w:vAlign w:val="center"/>
          </w:tcPr>
          <w:p>
            <w:pPr>
              <w:adjustRightInd w:val="0"/>
              <w:snapToGrid w:val="0"/>
              <w:rPr>
                <w:rFonts w:hAnsi="宋体"/>
              </w:rPr>
            </w:pPr>
            <w:r>
              <w:rPr>
                <w:rFonts w:hint="eastAsia" w:hAnsi="宋体"/>
              </w:rPr>
              <w:t>总报价合计：</w:t>
            </w: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p>
    <w:p>
      <w:pPr>
        <w:spacing w:line="360" w:lineRule="auto"/>
        <w:rPr>
          <w:rFonts w:cs="Times New Roman"/>
        </w:rPr>
      </w:pPr>
    </w:p>
    <w:p>
      <w:pPr>
        <w:pStyle w:val="34"/>
        <w:ind w:firstLine="210"/>
        <w:rPr>
          <w:rFonts w:cs="Times New Roman"/>
        </w:rPr>
      </w:pPr>
    </w:p>
    <w:bookmarkEnd w:id="93"/>
    <w:bookmarkEnd w:id="94"/>
    <w:bookmarkEnd w:id="95"/>
    <w:p>
      <w:pPr>
        <w:spacing w:line="480" w:lineRule="auto"/>
        <w:rPr>
          <w:rFonts w:cs="Times New Roman"/>
        </w:rPr>
      </w:pPr>
      <w:bookmarkStart w:id="103"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103"/>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bookmarkStart w:id="104" w:name="_Toc2840"/>
      <w:r>
        <w:rPr>
          <w:rFonts w:hint="eastAsia" w:ascii="宋体" w:hAnsi="宋体" w:cs="宋体"/>
          <w:sz w:val="32"/>
          <w:szCs w:val="32"/>
        </w:rPr>
        <w:t>供应商认为需要提供的其他资料</w:t>
      </w:r>
      <w:bookmarkEnd w:id="104"/>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rPr>
        <w:jc w:val="right"/>
      </w:trPr>
      <w:tc>
        <w:tcPr>
          <w:tcW w:w="4795" w:type="dxa"/>
          <w:vAlign w:val="center"/>
        </w:tcPr>
        <w:p>
          <w:pPr>
            <w:pStyle w:val="22"/>
            <w:tabs>
              <w:tab w:val="center" w:pos="4571"/>
              <w:tab w:val="right" w:pos="9263"/>
            </w:tabs>
            <w:jc w:val="left"/>
            <w:rPr>
              <w:caps/>
              <w:color w:val="000000"/>
            </w:rPr>
          </w:pPr>
          <w:r>
            <w:rPr>
              <w:rFonts w:hint="eastAsia"/>
              <w:caps/>
              <w:color w:val="000000"/>
              <w:lang w:eastAsia="zh-CN"/>
            </w:rPr>
            <w:tab/>
          </w:r>
          <w:r>
            <w:rPr>
              <w:rFonts w:hint="eastAsia"/>
              <w:caps/>
              <w:color w:val="000000"/>
              <w:lang w:eastAsia="zh-CN"/>
            </w:rPr>
            <w:tab/>
          </w:r>
          <w:r>
            <w:rPr>
              <w:rFonts w:hint="eastAsia"/>
              <w:caps/>
              <w:color w:val="000000"/>
              <w:lang w:eastAsia="zh-CN"/>
            </w:rPr>
            <w:tab/>
          </w:r>
          <w:r>
            <w:rPr>
              <w:rFonts w:hint="eastAsia"/>
              <w:caps/>
              <w:color w:val="000000"/>
              <w:lang w:eastAsia="zh-CN"/>
            </w:rPr>
            <w:tab/>
          </w:r>
        </w:p>
      </w:tc>
      <w:tc>
        <w:tcPr>
          <w:tcW w:w="250" w:type="pct"/>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E2261"/>
    <w:multiLevelType w:val="singleLevel"/>
    <w:tmpl w:val="C81E2261"/>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A247A"/>
    <w:rsid w:val="001B73D5"/>
    <w:rsid w:val="001C28FB"/>
    <w:rsid w:val="001D4503"/>
    <w:rsid w:val="001D5685"/>
    <w:rsid w:val="001E01F4"/>
    <w:rsid w:val="001E2859"/>
    <w:rsid w:val="001E6A25"/>
    <w:rsid w:val="001F108D"/>
    <w:rsid w:val="002076DF"/>
    <w:rsid w:val="00217836"/>
    <w:rsid w:val="00221547"/>
    <w:rsid w:val="0022256D"/>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10C0545"/>
    <w:rsid w:val="01431AAC"/>
    <w:rsid w:val="01C57A12"/>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08193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72915"/>
    <w:rsid w:val="1AAF73A0"/>
    <w:rsid w:val="1B295DE8"/>
    <w:rsid w:val="1B813D0B"/>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15CF5"/>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6457B2"/>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810C03"/>
    <w:rsid w:val="3C912184"/>
    <w:rsid w:val="3CAC6323"/>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497536"/>
    <w:rsid w:val="456A0612"/>
    <w:rsid w:val="458D6777"/>
    <w:rsid w:val="4590612D"/>
    <w:rsid w:val="45974811"/>
    <w:rsid w:val="45B13BA6"/>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33206D"/>
    <w:rsid w:val="4B646FFB"/>
    <w:rsid w:val="4B745559"/>
    <w:rsid w:val="4B8250E9"/>
    <w:rsid w:val="4B9374B4"/>
    <w:rsid w:val="4BAC6D9C"/>
    <w:rsid w:val="4BBC374F"/>
    <w:rsid w:val="4BD50393"/>
    <w:rsid w:val="4C371F41"/>
    <w:rsid w:val="4CF124C7"/>
    <w:rsid w:val="4D1C29A0"/>
    <w:rsid w:val="4D222443"/>
    <w:rsid w:val="4D2E3414"/>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7A4B4D"/>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CB31827"/>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75395"/>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731C0B"/>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2"/>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basedOn w:val="37"/>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basedOn w:val="37"/>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character" w:customStyle="1" w:styleId="129">
    <w:name w:val="font11"/>
    <w:basedOn w:val="37"/>
    <w:qFormat/>
    <w:uiPriority w:val="0"/>
    <w:rPr>
      <w:rFonts w:hint="eastAsia" w:ascii="宋体" w:hAnsi="宋体" w:eastAsia="宋体" w:cs="宋体"/>
      <w:color w:val="000000"/>
      <w:sz w:val="22"/>
      <w:szCs w:val="22"/>
      <w:u w:val="none"/>
    </w:rPr>
  </w:style>
  <w:style w:type="character" w:customStyle="1" w:styleId="130">
    <w:name w:val="font21"/>
    <w:basedOn w:val="3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13720</Words>
  <Characters>14837</Characters>
  <Lines>108</Lines>
  <Paragraphs>30</Paragraphs>
  <TotalTime>4</TotalTime>
  <ScaleCrop>false</ScaleCrop>
  <LinksUpToDate>false</LinksUpToDate>
  <CharactersWithSpaces>15463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2020-04-17T08:41:00Z</dcterms:created>
  <dc:creator>dministrator</dc:creator>
  <cp:lastModifiedBy>广西南宁技师学院-广西南宁技师学院</cp:lastModifiedBy>
  <cp:lastPrinted>2023-02-20T02:17:00Z</cp:lastPrinted>
  <dcterms:modified xsi:type="dcterms:W3CDTF">2023-10-19T03:08:31Z</dcterms:modified>
  <dc:title>国内货物采购招标文件</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E41B555CA69041AAA3CD390513C83A62_13</vt:lpwstr>
  </property>
</Properties>
</file>