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EABC7">
      <w:pPr>
        <w:tabs>
          <w:tab w:val="left" w:pos="720"/>
        </w:tabs>
        <w:spacing w:line="360" w:lineRule="auto"/>
      </w:pPr>
    </w:p>
    <w:p w14:paraId="5C42D35F">
      <w:pPr>
        <w:pStyle w:val="36"/>
        <w:spacing w:line="264" w:lineRule="auto"/>
        <w:ind w:firstLine="562"/>
        <w:jc w:val="center"/>
        <w:rPr>
          <w:rFonts w:eastAsia="黑体"/>
          <w:b/>
          <w:bCs/>
          <w:sz w:val="56"/>
          <w:szCs w:val="56"/>
        </w:rPr>
      </w:pPr>
    </w:p>
    <w:p w14:paraId="2878F678">
      <w:pPr>
        <w:spacing w:line="360" w:lineRule="auto"/>
        <w:jc w:val="center"/>
        <w:rPr>
          <w:rFonts w:ascii="方正小标宋_GBK" w:eastAsia="方正小标宋_GBK"/>
          <w:b/>
          <w:bCs/>
          <w:spacing w:val="20"/>
          <w:kern w:val="10"/>
          <w:sz w:val="72"/>
          <w:szCs w:val="72"/>
        </w:rPr>
      </w:pPr>
      <w:r>
        <w:rPr>
          <w:rFonts w:hint="eastAsia" w:ascii="方正小标宋_GBK" w:eastAsia="方正小标宋_GBK" w:cs="华文新魏"/>
          <w:b/>
          <w:bCs/>
          <w:spacing w:val="20"/>
          <w:kern w:val="10"/>
          <w:sz w:val="72"/>
          <w:szCs w:val="72"/>
        </w:rPr>
        <w:t>广西南宁技师学院</w:t>
      </w:r>
    </w:p>
    <w:p w14:paraId="07E0D12E">
      <w:pPr>
        <w:spacing w:line="360" w:lineRule="auto"/>
        <w:jc w:val="center"/>
        <w:rPr>
          <w:rFonts w:ascii="方正小标宋_GBK" w:hAnsi="Times New Roman" w:eastAsia="方正小标宋_GBK" w:cs="华文新魏"/>
          <w:b/>
          <w:bCs/>
          <w:spacing w:val="20"/>
          <w:kern w:val="10"/>
          <w:sz w:val="36"/>
          <w:szCs w:val="36"/>
        </w:rPr>
      </w:pPr>
      <w:bookmarkStart w:id="0" w:name="OLE_LINK2"/>
    </w:p>
    <w:p w14:paraId="39C29E6F">
      <w:pPr>
        <w:spacing w:line="360" w:lineRule="auto"/>
        <w:jc w:val="center"/>
        <w:rPr>
          <w:rFonts w:hint="eastAsia" w:ascii="方正小标宋_GBK" w:hAnsi="Times New Roman" w:eastAsia="方正小标宋_GBK" w:cs="华文新魏"/>
          <w:b/>
          <w:bCs/>
          <w:spacing w:val="20"/>
          <w:kern w:val="10"/>
          <w:sz w:val="36"/>
          <w:szCs w:val="36"/>
        </w:rPr>
      </w:pPr>
      <w:r>
        <w:rPr>
          <w:rFonts w:hint="eastAsia" w:ascii="方正小标宋_GBK" w:hAnsi="Times New Roman" w:eastAsia="方正小标宋_GBK" w:cs="华文新魏"/>
          <w:b/>
          <w:bCs/>
          <w:spacing w:val="20"/>
          <w:kern w:val="10"/>
          <w:sz w:val="36"/>
          <w:szCs w:val="36"/>
          <w:lang w:val="en-US" w:eastAsia="zh-CN"/>
        </w:rPr>
        <w:t>2025年</w:t>
      </w:r>
      <w:r>
        <w:rPr>
          <w:rFonts w:hint="eastAsia" w:ascii="方正小标宋_GBK" w:hAnsi="Times New Roman" w:eastAsia="方正小标宋_GBK" w:cs="华文新魏"/>
          <w:b/>
          <w:bCs/>
          <w:spacing w:val="20"/>
          <w:kern w:val="10"/>
          <w:sz w:val="36"/>
          <w:szCs w:val="36"/>
        </w:rPr>
        <w:t>“四害”及红火蚁、隐翅虫、臭虫防治服务</w:t>
      </w:r>
    </w:p>
    <w:p w14:paraId="2FE67944">
      <w:pPr>
        <w:pStyle w:val="36"/>
        <w:rPr>
          <w:rFonts w:hint="eastAsia" w:ascii="方正小标宋_GBK" w:hAnsi="Times New Roman" w:eastAsia="方正小标宋_GBK" w:cs="华文新魏"/>
          <w:b/>
          <w:bCs/>
          <w:spacing w:val="20"/>
          <w:kern w:val="10"/>
          <w:sz w:val="36"/>
          <w:szCs w:val="36"/>
        </w:rPr>
      </w:pPr>
    </w:p>
    <w:p w14:paraId="49F2898B">
      <w:pPr>
        <w:pStyle w:val="36"/>
        <w:rPr>
          <w:rFonts w:hint="eastAsia" w:ascii="方正小标宋_GBK" w:hAnsi="Times New Roman" w:eastAsia="方正小标宋_GBK" w:cs="华文新魏"/>
          <w:b/>
          <w:bCs/>
          <w:spacing w:val="20"/>
          <w:kern w:val="10"/>
          <w:sz w:val="36"/>
          <w:szCs w:val="36"/>
        </w:rPr>
      </w:pPr>
    </w:p>
    <w:p w14:paraId="7930A956">
      <w:pPr>
        <w:spacing w:line="360" w:lineRule="auto"/>
        <w:jc w:val="center"/>
        <w:rPr>
          <w:rFonts w:ascii="方正小标宋_GBK" w:eastAsia="方正小标宋_GBK"/>
          <w:sz w:val="36"/>
          <w:szCs w:val="36"/>
        </w:rPr>
      </w:pPr>
      <w:r>
        <w:rPr>
          <w:rFonts w:hint="eastAsia" w:ascii="方正小标宋_GBK" w:hAnsi="Times New Roman" w:eastAsia="方正小标宋_GBK" w:cs="华文新魏"/>
          <w:b/>
          <w:bCs/>
          <w:spacing w:val="20"/>
          <w:kern w:val="10"/>
          <w:sz w:val="36"/>
          <w:szCs w:val="36"/>
        </w:rPr>
        <w:t>项目编号：</w:t>
      </w:r>
      <w:bookmarkEnd w:id="0"/>
      <w:r>
        <w:rPr>
          <w:rFonts w:hint="eastAsia" w:ascii="方正小标宋_GBK" w:hAnsi="Times New Roman" w:eastAsia="方正小标宋_GBK" w:cs="华文新魏"/>
          <w:b/>
          <w:bCs/>
          <w:spacing w:val="20"/>
          <w:kern w:val="10"/>
          <w:sz w:val="36"/>
          <w:szCs w:val="36"/>
        </w:rPr>
        <w:t>GXNNJSXY20240</w:t>
      </w:r>
      <w:r>
        <w:rPr>
          <w:rFonts w:hint="eastAsia" w:ascii="方正小标宋_GBK" w:hAnsi="Times New Roman" w:eastAsia="方正小标宋_GBK" w:cs="华文新魏"/>
          <w:b/>
          <w:bCs/>
          <w:spacing w:val="20"/>
          <w:kern w:val="10"/>
          <w:sz w:val="36"/>
          <w:szCs w:val="36"/>
          <w:lang w:val="en-US" w:eastAsia="zh-CN"/>
        </w:rPr>
        <w:t>20</w:t>
      </w:r>
      <w:r>
        <w:rPr>
          <w:rFonts w:hint="eastAsia" w:ascii="方正小标宋_GBK" w:hAnsi="Times New Roman" w:eastAsia="方正小标宋_GBK" w:cs="华文新魏"/>
          <w:b/>
          <w:bCs/>
          <w:spacing w:val="20"/>
          <w:kern w:val="10"/>
          <w:sz w:val="36"/>
          <w:szCs w:val="36"/>
        </w:rPr>
        <w:t>HQ0</w:t>
      </w:r>
      <w:r>
        <w:rPr>
          <w:rFonts w:hint="eastAsia" w:ascii="方正小标宋_GBK" w:hAnsi="Times New Roman" w:eastAsia="方正小标宋_GBK" w:cs="华文新魏"/>
          <w:b/>
          <w:bCs/>
          <w:spacing w:val="20"/>
          <w:kern w:val="10"/>
          <w:sz w:val="36"/>
          <w:szCs w:val="36"/>
          <w:lang w:val="en-US" w:eastAsia="zh-CN"/>
        </w:rPr>
        <w:t>5</w:t>
      </w:r>
      <w:r>
        <w:rPr>
          <w:rFonts w:hint="eastAsia" w:ascii="方正小标宋_GBK" w:hAnsi="Times New Roman" w:eastAsia="方正小标宋_GBK" w:cs="华文新魏"/>
          <w:b/>
          <w:bCs/>
          <w:spacing w:val="20"/>
          <w:kern w:val="10"/>
          <w:sz w:val="36"/>
          <w:szCs w:val="36"/>
        </w:rPr>
        <w:t>C</w:t>
      </w:r>
    </w:p>
    <w:p w14:paraId="5C540B46">
      <w:pPr>
        <w:spacing w:line="360" w:lineRule="auto"/>
        <w:ind w:firstLine="1080" w:firstLineChars="300"/>
        <w:jc w:val="both"/>
        <w:rPr>
          <w:rFonts w:ascii="方正小标宋_GBK" w:eastAsia="方正小标宋_GBK"/>
          <w:sz w:val="36"/>
          <w:szCs w:val="36"/>
        </w:rPr>
      </w:pPr>
    </w:p>
    <w:p w14:paraId="5116E2DC">
      <w:pPr>
        <w:pStyle w:val="36"/>
        <w:ind w:firstLine="210"/>
        <w:rPr>
          <w:rFonts w:ascii="方正小标宋_GBK" w:eastAsia="方正小标宋_GBK"/>
        </w:rPr>
      </w:pPr>
    </w:p>
    <w:p w14:paraId="7FF26B6B">
      <w:pPr>
        <w:spacing w:line="360" w:lineRule="auto"/>
        <w:jc w:val="center"/>
        <w:rPr>
          <w:rFonts w:ascii="方正小标宋_GBK" w:eastAsia="方正小标宋_GBK"/>
          <w:b/>
          <w:bCs/>
          <w:spacing w:val="20"/>
          <w:kern w:val="10"/>
          <w:sz w:val="72"/>
          <w:szCs w:val="72"/>
        </w:rPr>
      </w:pPr>
      <w:bookmarkStart w:id="1" w:name="_Hlk70326687"/>
      <w:r>
        <w:rPr>
          <w:rFonts w:hint="eastAsia" w:ascii="方正小标宋_GBK" w:eastAsia="方正小标宋_GBK" w:cs="华文新魏"/>
          <w:b/>
          <w:bCs/>
          <w:spacing w:val="20"/>
          <w:kern w:val="10"/>
          <w:sz w:val="72"/>
          <w:szCs w:val="72"/>
        </w:rPr>
        <w:t>询价文件</w:t>
      </w:r>
    </w:p>
    <w:bookmarkEnd w:id="1"/>
    <w:p w14:paraId="1F2A38AB">
      <w:pPr>
        <w:rPr>
          <w:rFonts w:ascii="方正小标宋_GBK" w:eastAsia="方正小标宋_GBK"/>
        </w:rPr>
      </w:pPr>
      <w:r>
        <w:rPr>
          <w:rFonts w:hint="eastAsia" w:ascii="方正小标宋_GBK" w:eastAsia="方正小标宋_GBK"/>
        </w:rPr>
        <w:t xml:space="preserve">  </w:t>
      </w:r>
    </w:p>
    <w:p w14:paraId="033E7940">
      <w:pPr>
        <w:pStyle w:val="36"/>
        <w:ind w:firstLine="210"/>
      </w:pPr>
    </w:p>
    <w:p w14:paraId="6C515C09">
      <w:pPr>
        <w:pStyle w:val="36"/>
        <w:ind w:firstLine="210"/>
        <w:rPr>
          <w:rFonts w:ascii="方正小标宋_GBK" w:eastAsia="方正小标宋_GBK"/>
        </w:rPr>
      </w:pPr>
    </w:p>
    <w:p w14:paraId="3E371DEC">
      <w:pPr>
        <w:pStyle w:val="36"/>
        <w:ind w:firstLine="210"/>
        <w:rPr>
          <w:rFonts w:ascii="方正小标宋_GBK" w:eastAsia="方正小标宋_GBK"/>
        </w:rPr>
      </w:pPr>
    </w:p>
    <w:p w14:paraId="6925C756">
      <w:pPr>
        <w:pStyle w:val="36"/>
        <w:ind w:firstLine="210"/>
        <w:rPr>
          <w:rFonts w:ascii="方正小标宋_GBK" w:eastAsia="方正小标宋_GBK"/>
        </w:rPr>
      </w:pPr>
    </w:p>
    <w:p w14:paraId="4A6784CF">
      <w:pPr>
        <w:pStyle w:val="36"/>
        <w:ind w:firstLine="210"/>
        <w:rPr>
          <w:rFonts w:ascii="方正小标宋_GBK" w:eastAsia="方正小标宋_GBK"/>
        </w:rPr>
      </w:pPr>
    </w:p>
    <w:p w14:paraId="76A97553">
      <w:pPr>
        <w:spacing w:line="800" w:lineRule="exact"/>
        <w:jc w:val="center"/>
        <w:rPr>
          <w:rFonts w:ascii="方正小标宋_GBK" w:eastAsia="方正小标宋_GBK"/>
          <w:sz w:val="20"/>
          <w:szCs w:val="20"/>
        </w:rPr>
      </w:pPr>
      <w:r>
        <w:rPr>
          <w:rFonts w:hint="eastAsia" w:ascii="方正小标宋_GBK" w:eastAsia="方正小标宋_GBK" w:cs="黑体"/>
          <w:sz w:val="36"/>
          <w:szCs w:val="36"/>
        </w:rPr>
        <w:t>采购单位：广西南宁技师学院</w:t>
      </w:r>
    </w:p>
    <w:p w14:paraId="2C71EE6A">
      <w:pPr>
        <w:spacing w:line="800" w:lineRule="exact"/>
        <w:jc w:val="center"/>
        <w:rPr>
          <w:rFonts w:ascii="方正小标宋_GBK" w:eastAsia="方正小标宋_GBK"/>
          <w:sz w:val="40"/>
          <w:szCs w:val="40"/>
        </w:rPr>
      </w:pPr>
      <w:r>
        <w:rPr>
          <w:rFonts w:hint="eastAsia" w:ascii="方正小标宋_GBK" w:eastAsia="方正小标宋_GBK" w:cs="黑体"/>
          <w:sz w:val="36"/>
          <w:szCs w:val="36"/>
        </w:rPr>
        <w:t>202</w:t>
      </w:r>
      <w:r>
        <w:rPr>
          <w:rFonts w:hint="eastAsia" w:ascii="方正小标宋_GBK" w:eastAsia="方正小标宋_GBK" w:cs="黑体"/>
          <w:sz w:val="36"/>
          <w:szCs w:val="36"/>
          <w:lang w:val="en-US" w:eastAsia="zh-CN"/>
        </w:rPr>
        <w:t>4</w:t>
      </w:r>
      <w:r>
        <w:rPr>
          <w:rFonts w:hint="eastAsia" w:ascii="方正小标宋_GBK" w:eastAsia="方正小标宋_GBK" w:cs="黑体"/>
          <w:sz w:val="36"/>
          <w:szCs w:val="36"/>
        </w:rPr>
        <w:t>年</w:t>
      </w:r>
      <w:r>
        <w:rPr>
          <w:rFonts w:hint="eastAsia" w:ascii="方正小标宋_GBK" w:eastAsia="方正小标宋_GBK" w:cs="黑体"/>
          <w:sz w:val="40"/>
          <w:szCs w:val="40"/>
          <w:lang w:val="en-US" w:eastAsia="zh-CN"/>
        </w:rPr>
        <w:t xml:space="preserve"> 12 </w:t>
      </w:r>
      <w:r>
        <w:rPr>
          <w:rFonts w:hint="eastAsia" w:ascii="方正小标宋_GBK" w:eastAsia="方正小标宋_GBK" w:cs="黑体"/>
          <w:sz w:val="40"/>
          <w:szCs w:val="40"/>
        </w:rPr>
        <w:t>月</w:t>
      </w:r>
    </w:p>
    <w:p w14:paraId="7D66A65C">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14:paraId="5AD79B6F">
      <w:pPr>
        <w:jc w:val="center"/>
        <w:rPr>
          <w:rFonts w:ascii="黑体" w:eastAsia="黑体"/>
          <w:b/>
          <w:bCs/>
          <w:sz w:val="32"/>
          <w:szCs w:val="32"/>
        </w:rPr>
      </w:pPr>
      <w:r>
        <w:rPr>
          <w:rFonts w:hint="eastAsia" w:ascii="黑体" w:eastAsia="黑体" w:cs="黑体"/>
          <w:b/>
          <w:bCs/>
          <w:sz w:val="32"/>
          <w:szCs w:val="32"/>
        </w:rPr>
        <w:t>目　录</w:t>
      </w:r>
    </w:p>
    <w:p w14:paraId="58C0C7B1">
      <w:pPr>
        <w:pStyle w:val="36"/>
        <w:ind w:firstLine="560" w:firstLineChars="200"/>
        <w:jc w:val="left"/>
        <w:rPr>
          <w:rFonts w:ascii="宋体" w:hAnsi="宋体"/>
          <w:sz w:val="28"/>
          <w:szCs w:val="28"/>
        </w:rPr>
      </w:pPr>
      <w:r>
        <w:rPr>
          <w:rFonts w:hint="eastAsia" w:ascii="宋体" w:hAnsi="宋体"/>
          <w:sz w:val="28"/>
          <w:szCs w:val="28"/>
        </w:rPr>
        <w:t>第一章 询价</w:t>
      </w:r>
      <w:r>
        <w:rPr>
          <w:rFonts w:hint="eastAsia" w:ascii="宋体" w:hAnsi="宋体"/>
          <w:sz w:val="28"/>
          <w:szCs w:val="28"/>
          <w:lang w:val="en-US" w:eastAsia="zh-CN"/>
        </w:rPr>
        <w:t>公告</w:t>
      </w:r>
      <w:r>
        <w:rPr>
          <w:rFonts w:ascii="宋体" w:hAnsi="宋体"/>
          <w:sz w:val="28"/>
          <w:szCs w:val="28"/>
        </w:rPr>
        <w:t>……………………………………………………</w:t>
      </w:r>
      <w:r>
        <w:rPr>
          <w:rFonts w:hint="eastAsia" w:ascii="宋体" w:hAnsi="宋体"/>
          <w:sz w:val="28"/>
          <w:szCs w:val="28"/>
        </w:rPr>
        <w:t>2</w:t>
      </w:r>
    </w:p>
    <w:p w14:paraId="2BAD5961">
      <w:pPr>
        <w:pStyle w:val="36"/>
        <w:ind w:firstLine="560" w:firstLineChars="200"/>
        <w:jc w:val="left"/>
        <w:rPr>
          <w:rFonts w:ascii="宋体" w:hAnsi="宋体"/>
          <w:sz w:val="28"/>
          <w:szCs w:val="28"/>
        </w:rPr>
      </w:pPr>
      <w:r>
        <w:rPr>
          <w:rFonts w:hint="eastAsia" w:ascii="宋体" w:hAnsi="宋体"/>
          <w:sz w:val="28"/>
          <w:szCs w:val="28"/>
        </w:rPr>
        <w:t>第二章 采购需求书…………………………………………………4</w:t>
      </w:r>
    </w:p>
    <w:p w14:paraId="67D057AF">
      <w:pPr>
        <w:pStyle w:val="36"/>
        <w:ind w:firstLine="560" w:firstLineChars="200"/>
        <w:jc w:val="left"/>
        <w:rPr>
          <w:rFonts w:hint="default" w:ascii="宋体" w:hAnsi="宋体" w:eastAsia="宋体"/>
          <w:sz w:val="28"/>
          <w:szCs w:val="28"/>
          <w:lang w:val="en-US" w:eastAsia="zh-CN"/>
        </w:rPr>
      </w:pPr>
      <w:r>
        <w:rPr>
          <w:rFonts w:hint="eastAsia" w:ascii="宋体" w:hAnsi="宋体"/>
          <w:sz w:val="28"/>
          <w:szCs w:val="28"/>
        </w:rPr>
        <w:t>第三章 询价须知…………………………………………………</w:t>
      </w:r>
      <w:r>
        <w:rPr>
          <w:rFonts w:ascii="宋体" w:hAnsi="宋体"/>
          <w:sz w:val="28"/>
          <w:szCs w:val="28"/>
        </w:rPr>
        <w:t>…</w:t>
      </w:r>
      <w:r>
        <w:rPr>
          <w:rFonts w:hint="eastAsia" w:ascii="宋体" w:hAnsi="宋体"/>
          <w:sz w:val="28"/>
          <w:szCs w:val="28"/>
          <w:lang w:val="en-US" w:eastAsia="zh-CN"/>
        </w:rPr>
        <w:t>12</w:t>
      </w:r>
    </w:p>
    <w:p w14:paraId="581B0380">
      <w:pPr>
        <w:pStyle w:val="36"/>
        <w:ind w:firstLine="560" w:firstLineChars="200"/>
        <w:jc w:val="left"/>
        <w:rPr>
          <w:rFonts w:hint="eastAsia" w:ascii="宋体" w:hAnsi="宋体"/>
          <w:sz w:val="28"/>
          <w:szCs w:val="28"/>
          <w:lang w:val="en-US" w:eastAsia="zh-CN"/>
        </w:rPr>
      </w:pPr>
      <w:r>
        <w:rPr>
          <w:rFonts w:hint="eastAsia" w:ascii="宋体" w:hAnsi="宋体"/>
          <w:sz w:val="28"/>
          <w:szCs w:val="28"/>
        </w:rPr>
        <w:t>第四章 合同格式…………………………………………………</w:t>
      </w:r>
      <w:r>
        <w:rPr>
          <w:rFonts w:ascii="宋体" w:hAnsi="宋体"/>
          <w:sz w:val="28"/>
          <w:szCs w:val="28"/>
        </w:rPr>
        <w:t>…</w:t>
      </w:r>
      <w:r>
        <w:rPr>
          <w:rFonts w:hint="eastAsia" w:ascii="宋体" w:hAnsi="宋体"/>
          <w:sz w:val="28"/>
          <w:szCs w:val="28"/>
          <w:lang w:val="en-US" w:eastAsia="zh-CN"/>
        </w:rPr>
        <w:t>21</w:t>
      </w:r>
    </w:p>
    <w:p w14:paraId="008107C1">
      <w:pPr>
        <w:pStyle w:val="36"/>
        <w:ind w:firstLine="560" w:firstLineChars="200"/>
        <w:jc w:val="left"/>
        <w:rPr>
          <w:rFonts w:hint="default" w:ascii="宋体" w:hAnsi="宋体" w:eastAsia="宋体"/>
          <w:sz w:val="28"/>
          <w:szCs w:val="28"/>
          <w:lang w:val="en-US" w:eastAsia="zh-CN"/>
        </w:rPr>
      </w:pPr>
      <w:r>
        <w:rPr>
          <w:rFonts w:hint="eastAsia" w:ascii="宋体" w:hAnsi="宋体"/>
          <w:sz w:val="28"/>
          <w:szCs w:val="28"/>
        </w:rPr>
        <w:t>第五章 响应文件格式………………………………………………</w:t>
      </w:r>
      <w:r>
        <w:rPr>
          <w:rFonts w:hint="eastAsia" w:ascii="宋体" w:hAnsi="宋体"/>
          <w:sz w:val="28"/>
          <w:szCs w:val="28"/>
          <w:lang w:val="en-US" w:eastAsia="zh-CN"/>
        </w:rPr>
        <w:t>28</w:t>
      </w:r>
    </w:p>
    <w:p w14:paraId="046C3CD8">
      <w:pPr>
        <w:pStyle w:val="33"/>
        <w:widowControl w:val="0"/>
        <w:tabs>
          <w:tab w:val="left" w:pos="0"/>
          <w:tab w:val="right" w:leader="dot" w:pos="9645"/>
        </w:tabs>
        <w:spacing w:before="0" w:beforeAutospacing="0" w:after="0" w:afterAutospacing="0" w:line="360" w:lineRule="auto"/>
        <w:jc w:val="both"/>
        <w:sectPr>
          <w:footerReference r:id="rId7" w:type="default"/>
          <w:pgSz w:w="11906" w:h="16838"/>
          <w:pgMar w:top="1135" w:right="1135" w:bottom="1135" w:left="1135" w:header="685" w:footer="518" w:gutter="0"/>
          <w:pgNumType w:start="1"/>
          <w:cols w:space="720" w:num="1"/>
          <w:docGrid w:type="lines" w:linePitch="312" w:charSpace="0"/>
        </w:sectPr>
      </w:pPr>
    </w:p>
    <w:p w14:paraId="2A8DA8F5">
      <w:pPr>
        <w:pStyle w:val="36"/>
        <w:ind w:firstLine="560" w:firstLineChars="200"/>
        <w:jc w:val="left"/>
        <w:rPr>
          <w:rFonts w:ascii="宋体" w:hAnsi="宋体"/>
          <w:sz w:val="28"/>
          <w:szCs w:val="28"/>
        </w:rPr>
      </w:pPr>
    </w:p>
    <w:p w14:paraId="4C196A38">
      <w:pPr>
        <w:spacing w:line="400" w:lineRule="exact"/>
        <w:jc w:val="center"/>
        <w:rPr>
          <w:rFonts w:hint="eastAsia" w:ascii="方正小标宋_GBK" w:eastAsia="方正小标宋_GBK"/>
          <w:sz w:val="32"/>
          <w:szCs w:val="32"/>
          <w:lang w:eastAsia="zh-CN"/>
        </w:rPr>
      </w:pPr>
      <w:r>
        <w:rPr>
          <w:rFonts w:hint="eastAsia" w:ascii="方正小标宋_GBK" w:eastAsia="方正小标宋_GBK" w:cs="黑体"/>
          <w:sz w:val="32"/>
          <w:szCs w:val="32"/>
        </w:rPr>
        <w:t>第一章  询价</w:t>
      </w:r>
      <w:r>
        <w:rPr>
          <w:rFonts w:hint="eastAsia" w:ascii="方正小标宋_GBK" w:eastAsia="方正小标宋_GBK" w:cs="黑体"/>
          <w:sz w:val="32"/>
          <w:szCs w:val="32"/>
          <w:lang w:val="en-US" w:eastAsia="zh-CN"/>
        </w:rPr>
        <w:t>公告</w:t>
      </w:r>
    </w:p>
    <w:p w14:paraId="1FDB6E5E">
      <w:pPr>
        <w:spacing w:line="400" w:lineRule="exact"/>
        <w:ind w:firstLine="420" w:firstLineChars="200"/>
        <w:jc w:val="left"/>
        <w:rPr>
          <w:rFonts w:ascii="宋体" w:hAnsi="宋体"/>
          <w:sz w:val="28"/>
          <w:szCs w:val="28"/>
        </w:rPr>
      </w:pPr>
      <w:bookmarkStart w:id="2" w:name="_Hlk75611315"/>
      <w:r>
        <w:rPr>
          <w:rFonts w:hint="eastAsia" w:ascii="宋体" w:hAnsi="宋体" w:cs="宋体"/>
          <w:kern w:val="28"/>
        </w:rPr>
        <w:t>广西南宁技师学院（以下简称“采购人”）对广西南宁技师学院</w:t>
      </w:r>
      <w:r>
        <w:rPr>
          <w:rFonts w:hint="eastAsia" w:ascii="宋体" w:hAnsi="宋体" w:cs="宋体"/>
          <w:kern w:val="28"/>
          <w:lang w:val="en-US" w:eastAsia="zh-CN"/>
        </w:rPr>
        <w:t>2025年</w:t>
      </w:r>
      <w:r>
        <w:rPr>
          <w:rFonts w:hint="eastAsia" w:cs="宋体"/>
          <w:kern w:val="28"/>
        </w:rPr>
        <w:t>“四害”及红火蚁、隐翅虫、臭虫防治服务</w:t>
      </w:r>
      <w:r>
        <w:rPr>
          <w:rFonts w:hint="eastAsia" w:ascii="宋体" w:hAnsi="宋体" w:cs="宋体"/>
          <w:kern w:val="28"/>
        </w:rPr>
        <w:t>以询价方式采购，欢迎符合资格条件的供应商参加。</w:t>
      </w:r>
    </w:p>
    <w:p w14:paraId="59ED6CC3">
      <w:pPr>
        <w:numPr>
          <w:ilvl w:val="0"/>
          <w:numId w:val="1"/>
        </w:numPr>
        <w:spacing w:line="400" w:lineRule="exact"/>
        <w:ind w:firstLine="420" w:firstLineChars="200"/>
        <w:rPr>
          <w:rFonts w:ascii="宋体" w:hAnsi="宋体" w:cs="宋体"/>
          <w:kern w:val="28"/>
          <w:highlight w:val="none"/>
        </w:rPr>
      </w:pPr>
      <w:r>
        <w:rPr>
          <w:rFonts w:hint="eastAsia" w:ascii="宋体" w:hAnsi="宋体" w:cs="宋体"/>
          <w:kern w:val="28"/>
          <w:highlight w:val="none"/>
        </w:rPr>
        <w:t>采购项目编号：</w:t>
      </w:r>
      <w:r>
        <w:rPr>
          <w:rFonts w:hint="eastAsia" w:ascii="宋体" w:hAnsi="宋体" w:cs="宋体"/>
          <w:kern w:val="28"/>
        </w:rPr>
        <w:t>GXNNJSXY20240</w:t>
      </w:r>
      <w:r>
        <w:rPr>
          <w:rFonts w:hint="eastAsia" w:ascii="宋体" w:hAnsi="宋体" w:cs="宋体"/>
          <w:kern w:val="28"/>
          <w:lang w:val="en-US" w:eastAsia="zh-CN"/>
        </w:rPr>
        <w:t>20</w:t>
      </w:r>
      <w:r>
        <w:rPr>
          <w:rFonts w:hint="eastAsia" w:ascii="宋体" w:hAnsi="宋体" w:cs="宋体"/>
          <w:kern w:val="28"/>
        </w:rPr>
        <w:t>HQ0</w:t>
      </w:r>
      <w:r>
        <w:rPr>
          <w:rFonts w:hint="eastAsia" w:ascii="宋体" w:hAnsi="宋体" w:cs="宋体"/>
          <w:kern w:val="28"/>
          <w:lang w:val="en-US" w:eastAsia="zh-CN"/>
        </w:rPr>
        <w:t>5</w:t>
      </w:r>
      <w:r>
        <w:rPr>
          <w:rFonts w:hint="eastAsia" w:ascii="宋体" w:hAnsi="宋体" w:cs="宋体"/>
          <w:kern w:val="28"/>
        </w:rPr>
        <w:t>C</w:t>
      </w:r>
    </w:p>
    <w:p w14:paraId="3B77A9E7">
      <w:pPr>
        <w:spacing w:line="400" w:lineRule="exact"/>
        <w:ind w:left="420"/>
        <w:rPr>
          <w:rFonts w:ascii="宋体" w:hAnsi="宋体"/>
          <w:color w:val="auto"/>
          <w:kern w:val="28"/>
        </w:rPr>
      </w:pPr>
      <w:r>
        <w:rPr>
          <w:rFonts w:hint="eastAsia" w:ascii="宋体" w:hAnsi="宋体" w:cs="宋体"/>
          <w:kern w:val="28"/>
          <w:highlight w:val="none"/>
        </w:rPr>
        <w:t>二、项目名称：</w:t>
      </w:r>
      <w:r>
        <w:rPr>
          <w:rFonts w:hint="eastAsia" w:ascii="宋体" w:hAnsi="宋体" w:cs="宋体"/>
          <w:kern w:val="28"/>
          <w:highlight w:val="none"/>
          <w:lang w:val="en-US" w:eastAsia="zh-CN"/>
        </w:rPr>
        <w:t>广西南宁技师</w:t>
      </w:r>
      <w:r>
        <w:rPr>
          <w:rFonts w:hint="eastAsia" w:ascii="宋体" w:hAnsi="宋体" w:cs="宋体"/>
          <w:color w:val="auto"/>
          <w:kern w:val="28"/>
          <w:lang w:val="en-US" w:eastAsia="zh-CN"/>
        </w:rPr>
        <w:t>学院</w:t>
      </w:r>
      <w:r>
        <w:rPr>
          <w:rFonts w:hint="eastAsia" w:ascii="宋体" w:hAnsi="宋体" w:cs="宋体"/>
          <w:color w:val="auto"/>
          <w:kern w:val="28"/>
          <w:highlight w:val="none"/>
          <w:lang w:val="en-US" w:eastAsia="zh-CN"/>
        </w:rPr>
        <w:t>2025</w:t>
      </w:r>
      <w:r>
        <w:rPr>
          <w:rFonts w:hint="eastAsia" w:ascii="宋体" w:hAnsi="宋体" w:cs="宋体"/>
          <w:color w:val="auto"/>
          <w:kern w:val="28"/>
          <w:lang w:val="en-US" w:eastAsia="zh-CN"/>
        </w:rPr>
        <w:t>年</w:t>
      </w:r>
      <w:r>
        <w:rPr>
          <w:rFonts w:hint="eastAsia" w:cs="宋体"/>
          <w:color w:val="auto"/>
          <w:kern w:val="28"/>
        </w:rPr>
        <w:t>“四害”及红火蚁、隐翅虫、臭虫防治服务</w:t>
      </w:r>
    </w:p>
    <w:p w14:paraId="12846669">
      <w:pPr>
        <w:spacing w:line="400" w:lineRule="exact"/>
        <w:ind w:firstLine="420" w:firstLineChars="200"/>
        <w:rPr>
          <w:rFonts w:ascii="宋体" w:hAnsi="宋体"/>
          <w:color w:val="auto"/>
          <w:kern w:val="28"/>
        </w:rPr>
      </w:pPr>
      <w:r>
        <w:rPr>
          <w:rFonts w:hint="eastAsia" w:ascii="宋体" w:hAnsi="宋体" w:cs="宋体"/>
          <w:color w:val="auto"/>
          <w:kern w:val="28"/>
        </w:rPr>
        <w:t>三、采购预算金额：</w:t>
      </w:r>
      <w:r>
        <w:rPr>
          <w:rFonts w:hint="eastAsia" w:ascii="宋体" w:hAnsi="宋体" w:cs="宋体"/>
          <w:color w:val="auto"/>
          <w:kern w:val="28"/>
          <w:u w:val="single"/>
          <w:lang w:val="en-US" w:eastAsia="zh-CN"/>
        </w:rPr>
        <w:t>50000</w:t>
      </w:r>
      <w:r>
        <w:rPr>
          <w:rFonts w:ascii="宋体" w:hAnsi="宋体" w:cs="宋体"/>
          <w:color w:val="auto"/>
          <w:kern w:val="28"/>
        </w:rPr>
        <w:t>元</w:t>
      </w:r>
    </w:p>
    <w:p w14:paraId="43A99CCE">
      <w:pPr>
        <w:autoSpaceDE w:val="0"/>
        <w:autoSpaceDN w:val="0"/>
        <w:adjustRightInd w:val="0"/>
        <w:snapToGrid w:val="0"/>
        <w:spacing w:line="400" w:lineRule="exact"/>
        <w:ind w:firstLine="420" w:firstLineChars="200"/>
        <w:rPr>
          <w:rFonts w:ascii="宋体" w:hAnsi="宋体"/>
          <w:u w:val="single"/>
        </w:rPr>
      </w:pPr>
      <w:r>
        <w:rPr>
          <w:rFonts w:hint="eastAsia" w:ascii="宋体" w:hAnsi="宋体" w:cs="宋体"/>
          <w:lang w:val="zh-CN"/>
        </w:rPr>
        <w:t>四、采购数量：一批。</w:t>
      </w:r>
    </w:p>
    <w:p w14:paraId="1B30B934">
      <w:pPr>
        <w:autoSpaceDE w:val="0"/>
        <w:autoSpaceDN w:val="0"/>
        <w:adjustRightInd w:val="0"/>
        <w:snapToGrid w:val="0"/>
        <w:spacing w:line="40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五</w:t>
      </w:r>
      <w:r>
        <w:rPr>
          <w:rFonts w:hint="eastAsia" w:ascii="宋体" w:hAnsi="宋体" w:eastAsia="宋体" w:cs="宋体"/>
          <w:b w:val="0"/>
          <w:bCs w:val="0"/>
          <w:kern w:val="2"/>
          <w:sz w:val="21"/>
          <w:szCs w:val="21"/>
          <w:lang w:val="zh-CN" w:eastAsia="zh-CN" w:bidi="ar-SA"/>
        </w:rPr>
        <w:t>、</w:t>
      </w:r>
      <w:r>
        <w:rPr>
          <w:rFonts w:hint="eastAsia" w:ascii="宋体" w:hAnsi="宋体" w:cs="宋体"/>
        </w:rPr>
        <w:t>采购方式：询价</w:t>
      </w:r>
    </w:p>
    <w:p w14:paraId="35DDE6E3">
      <w:pPr>
        <w:autoSpaceDE w:val="0"/>
        <w:autoSpaceDN w:val="0"/>
        <w:adjustRightInd w:val="0"/>
        <w:snapToGrid w:val="0"/>
        <w:spacing w:line="400" w:lineRule="exact"/>
        <w:ind w:firstLine="420" w:firstLineChars="200"/>
        <w:rPr>
          <w:rFonts w:ascii="宋体" w:hAnsi="宋体"/>
        </w:rPr>
      </w:pPr>
      <w:r>
        <w:rPr>
          <w:rFonts w:hint="eastAsia" w:ascii="宋体" w:hAnsi="宋体" w:cs="宋体"/>
          <w:lang w:val="en-US" w:eastAsia="zh-CN"/>
        </w:rPr>
        <w:t>六</w:t>
      </w:r>
      <w:r>
        <w:rPr>
          <w:rFonts w:hint="eastAsia" w:ascii="宋体" w:hAnsi="宋体" w:cs="宋体"/>
          <w:lang w:val="zh-CN"/>
        </w:rPr>
        <w:t>、采购</w:t>
      </w:r>
      <w:r>
        <w:rPr>
          <w:rFonts w:hint="eastAsia" w:ascii="宋体" w:hAnsi="宋体" w:cs="宋体"/>
        </w:rPr>
        <w:t>项目内容及要求</w:t>
      </w:r>
    </w:p>
    <w:p w14:paraId="25CECB3E">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14:paraId="69A00A2B">
      <w:pPr>
        <w:adjustRightInd w:val="0"/>
        <w:snapToGrid w:val="0"/>
        <w:spacing w:line="360" w:lineRule="auto"/>
        <w:ind w:firstLine="420" w:firstLineChars="200"/>
        <w:rPr>
          <w:rFonts w:ascii="宋体" w:hAnsi="宋体"/>
        </w:rPr>
      </w:pPr>
      <w:bookmarkStart w:id="3"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3"/>
    <w:p w14:paraId="3A5E265E">
      <w:pPr>
        <w:widowControl/>
        <w:spacing w:line="360" w:lineRule="auto"/>
        <w:ind w:firstLine="420" w:firstLineChars="200"/>
        <w:jc w:val="left"/>
        <w:rPr>
          <w:rFonts w:ascii="宋体" w:hAnsi="宋体"/>
        </w:rPr>
      </w:pPr>
      <w:r>
        <w:rPr>
          <w:rFonts w:hint="eastAsia" w:ascii="宋体" w:hAnsi="宋体" w:cs="宋体"/>
        </w:rPr>
        <w:t>3.本项目不允许提交备选方案。</w:t>
      </w:r>
    </w:p>
    <w:p w14:paraId="6BBA8DFC">
      <w:pPr>
        <w:adjustRightInd w:val="0"/>
        <w:snapToGrid w:val="0"/>
        <w:spacing w:line="400" w:lineRule="exact"/>
        <w:ind w:firstLine="420" w:firstLineChars="200"/>
        <w:rPr>
          <w:rFonts w:ascii="宋体" w:hAnsi="宋体"/>
        </w:rPr>
      </w:pPr>
      <w:r>
        <w:rPr>
          <w:rFonts w:hint="eastAsia" w:ascii="宋体" w:hAnsi="宋体" w:cs="宋体"/>
          <w:lang w:val="en-US" w:eastAsia="zh-CN"/>
        </w:rPr>
        <w:t>七</w:t>
      </w:r>
      <w:r>
        <w:rPr>
          <w:rFonts w:hint="eastAsia" w:ascii="宋体" w:hAnsi="宋体" w:cs="宋体"/>
        </w:rPr>
        <w:t>、供应商资格条件：</w:t>
      </w:r>
    </w:p>
    <w:bookmarkEnd w:id="2"/>
    <w:p w14:paraId="68BBE389">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1</w:t>
      </w:r>
      <w:r>
        <w:rPr>
          <w:rFonts w:hint="eastAsia" w:ascii="宋体" w:hAnsi="宋体" w:cs="宋体"/>
          <w:lang w:eastAsia="zh-CN"/>
        </w:rPr>
        <w:t>.</w:t>
      </w:r>
      <w:r>
        <w:rPr>
          <w:rFonts w:hint="eastAsia" w:ascii="宋体" w:hAnsi="宋体" w:cs="宋体"/>
        </w:rPr>
        <w:t>具有独立承担民事责任能力的在中华人民共和国境内注册的企业法人或其他组织机构（提供营业执照复印件加盖公章）；</w:t>
      </w:r>
    </w:p>
    <w:p w14:paraId="3FF8A4AC">
      <w:pPr>
        <w:widowControl/>
        <w:tabs>
          <w:tab w:val="left" w:pos="420"/>
          <w:tab w:val="left" w:pos="525"/>
          <w:tab w:val="left" w:pos="9639"/>
        </w:tabs>
        <w:spacing w:line="400" w:lineRule="exact"/>
        <w:ind w:right="-6" w:rightChars="-3" w:firstLine="420" w:firstLineChars="200"/>
        <w:jc w:val="left"/>
        <w:rPr>
          <w:rFonts w:hint="eastAsia" w:ascii="宋体" w:hAnsi="宋体" w:cs="宋体"/>
        </w:rPr>
      </w:pPr>
      <w:r>
        <w:rPr>
          <w:rFonts w:hint="eastAsia" w:ascii="宋体" w:hAnsi="宋体" w:cs="宋体"/>
          <w:kern w:val="28"/>
        </w:rPr>
        <w:t>2</w:t>
      </w:r>
      <w:r>
        <w:rPr>
          <w:rFonts w:hint="eastAsia" w:ascii="宋体" w:hAnsi="宋体" w:cs="宋体"/>
          <w:kern w:val="28"/>
          <w:lang w:eastAsia="zh-CN"/>
        </w:rPr>
        <w:t>.</w:t>
      </w:r>
      <w:r>
        <w:rPr>
          <w:rFonts w:hint="eastAsia" w:ascii="宋体" w:hAnsi="宋体" w:cs="宋体"/>
          <w:kern w:val="28"/>
        </w:rPr>
        <w:t>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14:paraId="4D82CE67">
      <w:pPr>
        <w:widowControl/>
        <w:tabs>
          <w:tab w:val="left" w:pos="420"/>
          <w:tab w:val="left" w:pos="525"/>
          <w:tab w:val="left" w:pos="9639"/>
        </w:tabs>
        <w:spacing w:line="400" w:lineRule="exact"/>
        <w:ind w:right="-6" w:rightChars="-3" w:firstLine="420" w:firstLineChars="200"/>
        <w:jc w:val="left"/>
        <w:rPr>
          <w:rFonts w:hint="default" w:ascii="宋体" w:hAnsi="宋体" w:eastAsia="宋体" w:cs="宋体"/>
          <w:b w:val="0"/>
          <w:bCs w:val="0"/>
          <w:kern w:val="28"/>
          <w:sz w:val="21"/>
          <w:szCs w:val="21"/>
          <w:lang w:val="en-US" w:eastAsia="zh-CN" w:bidi="ar-SA"/>
        </w:rPr>
      </w:pPr>
      <w:r>
        <w:rPr>
          <w:rFonts w:hint="eastAsia" w:ascii="宋体" w:hAnsi="宋体" w:eastAsia="宋体" w:cs="宋体"/>
          <w:b w:val="0"/>
          <w:bCs w:val="0"/>
          <w:kern w:val="28"/>
          <w:sz w:val="21"/>
          <w:szCs w:val="21"/>
          <w:lang w:val="en-US" w:eastAsia="zh-CN" w:bidi="ar-SA"/>
        </w:rPr>
        <w:t>3.本项目的特定资格要求：</w:t>
      </w:r>
      <w:r>
        <w:rPr>
          <w:rFonts w:hint="eastAsia" w:ascii="宋体" w:hAnsi="宋体" w:cs="宋体"/>
          <w:b w:val="0"/>
          <w:bCs w:val="0"/>
          <w:kern w:val="28"/>
          <w:sz w:val="21"/>
          <w:szCs w:val="21"/>
          <w:lang w:val="en-US" w:eastAsia="zh-CN" w:bidi="ar-SA"/>
        </w:rPr>
        <w:t>无；</w:t>
      </w:r>
    </w:p>
    <w:p w14:paraId="5C4F0F9B">
      <w:pPr>
        <w:spacing w:line="360" w:lineRule="auto"/>
        <w:ind w:firstLine="420" w:firstLineChars="200"/>
        <w:rPr>
          <w:rFonts w:hint="eastAsia" w:ascii="宋体" w:hAnsi="宋体" w:eastAsia="宋体"/>
          <w:lang w:eastAsia="zh-CN"/>
        </w:rPr>
      </w:pPr>
      <w:r>
        <w:rPr>
          <w:rFonts w:hint="eastAsia" w:ascii="宋体" w:hAnsi="宋体"/>
        </w:rPr>
        <w:t>4.本项目的特定条件：无</w:t>
      </w:r>
      <w:r>
        <w:rPr>
          <w:rFonts w:hint="eastAsia" w:ascii="宋体" w:hAnsi="宋体"/>
          <w:lang w:eastAsia="zh-CN"/>
        </w:rPr>
        <w:t>；</w:t>
      </w:r>
    </w:p>
    <w:p w14:paraId="0461AFD9">
      <w:pPr>
        <w:widowControl/>
        <w:spacing w:line="360" w:lineRule="auto"/>
        <w:ind w:firstLine="420" w:firstLineChars="200"/>
        <w:rPr>
          <w:rFonts w:hint="eastAsia" w:ascii="宋体" w:hAnsi="宋体" w:eastAsia="宋体" w:cs="宋体"/>
          <w:kern w:val="28"/>
          <w:lang w:eastAsia="zh-CN"/>
        </w:rPr>
      </w:pPr>
      <w:r>
        <w:rPr>
          <w:rFonts w:hint="eastAsia" w:ascii="宋体" w:hAnsi="宋体" w:cs="宋体"/>
          <w:kern w:val="28"/>
          <w:lang w:val="en-US" w:eastAsia="zh-CN"/>
        </w:rPr>
        <w:t>5</w:t>
      </w:r>
      <w:r>
        <w:rPr>
          <w:rFonts w:hint="eastAsia" w:ascii="宋体" w:hAnsi="宋体" w:cs="宋体"/>
          <w:kern w:val="28"/>
          <w:lang w:eastAsia="zh-CN"/>
        </w:rPr>
        <w:t>.</w:t>
      </w:r>
      <w:r>
        <w:rPr>
          <w:rFonts w:hint="eastAsia" w:ascii="宋体" w:hAnsi="宋体" w:cs="宋体"/>
          <w:kern w:val="28"/>
        </w:rPr>
        <w:t>单位负责人为同一人或者存在直接控股、管理关系的不同供应商，不得参加同一合同项下的采购活动</w:t>
      </w:r>
      <w:r>
        <w:rPr>
          <w:rFonts w:hint="eastAsia" w:ascii="宋体" w:hAnsi="宋体" w:cs="宋体"/>
          <w:kern w:val="28"/>
          <w:lang w:eastAsia="zh-CN"/>
        </w:rPr>
        <w:t>，</w:t>
      </w:r>
      <w:r>
        <w:rPr>
          <w:rFonts w:hint="eastAsia" w:ascii="宋体" w:hAnsi="宋体"/>
          <w:szCs w:val="21"/>
        </w:rPr>
        <w:t>为本项目提供过整体设计、规范编制或者项目管理、监理、检测等服务的供应商，不得再参加本项目上述服务以外的其他采购活动</w:t>
      </w:r>
      <w:r>
        <w:rPr>
          <w:rFonts w:hint="eastAsia" w:ascii="宋体" w:hAnsi="宋体"/>
          <w:szCs w:val="21"/>
          <w:lang w:eastAsia="zh-CN"/>
        </w:rPr>
        <w:t>；</w:t>
      </w:r>
    </w:p>
    <w:p w14:paraId="7B3E504A">
      <w:pPr>
        <w:widowControl/>
        <w:spacing w:line="400" w:lineRule="exact"/>
        <w:ind w:firstLine="420" w:firstLineChars="200"/>
        <w:rPr>
          <w:rFonts w:hint="eastAsia" w:ascii="宋体" w:hAnsi="宋体" w:eastAsia="宋体"/>
          <w:kern w:val="28"/>
          <w:lang w:eastAsia="zh-CN"/>
        </w:rPr>
      </w:pPr>
      <w:r>
        <w:rPr>
          <w:rFonts w:hint="eastAsia" w:ascii="宋体" w:hAnsi="宋体" w:cs="宋体"/>
          <w:kern w:val="28"/>
          <w:lang w:val="en-US" w:eastAsia="zh-CN"/>
        </w:rPr>
        <w:t>6.</w:t>
      </w:r>
      <w:r>
        <w:rPr>
          <w:rFonts w:hint="eastAsia" w:ascii="宋体" w:hAnsi="宋体" w:cs="宋体"/>
          <w:kern w:val="28"/>
        </w:rPr>
        <w:t>供应商未被列入“信用中国”网站</w:t>
      </w:r>
      <w:r>
        <w:rPr>
          <w:rFonts w:ascii="宋体" w:hAnsi="宋体"/>
          <w:kern w:val="28"/>
        </w:rPr>
        <w:t>(www.creditchina.gov.cn)</w:t>
      </w:r>
      <w:r>
        <w:rPr>
          <w:rFonts w:hint="eastAsia" w:ascii="宋体" w:hAnsi="宋体" w:cs="宋体"/>
          <w:kern w:val="28"/>
        </w:rPr>
        <w:t>“记录失信被执行人或重大税收违法案件当事人名单或政府采购严重违法失信行为”记录名单。（供应商需提供</w:t>
      </w:r>
      <w:bookmarkStart w:id="4" w:name="_Hlk38352078"/>
      <w:r>
        <w:rPr>
          <w:rFonts w:hint="eastAsia" w:ascii="宋体" w:hAnsi="宋体" w:cs="宋体"/>
          <w:kern w:val="28"/>
        </w:rPr>
        <w:t>投标截止日前在“信用中国”网站（</w:t>
      </w:r>
      <w:r>
        <w:rPr>
          <w:rFonts w:ascii="宋体" w:hAnsi="宋体"/>
          <w:kern w:val="28"/>
        </w:rPr>
        <w:t>www.creditchina.gov.cn</w:t>
      </w:r>
      <w:r>
        <w:rPr>
          <w:rFonts w:hint="eastAsia" w:ascii="宋体" w:hAnsi="宋体" w:cs="宋体"/>
          <w:kern w:val="28"/>
        </w:rPr>
        <w:t>）查询结果截图</w:t>
      </w:r>
      <w:bookmarkEnd w:id="4"/>
      <w:r>
        <w:rPr>
          <w:rFonts w:hint="eastAsia" w:ascii="宋体" w:hAnsi="宋体" w:cs="宋体"/>
          <w:kern w:val="28"/>
        </w:rPr>
        <w:t>作为证明材料，采购人在开标当天查询验证）</w:t>
      </w:r>
      <w:r>
        <w:rPr>
          <w:rFonts w:hint="eastAsia" w:ascii="宋体" w:hAnsi="宋体" w:cs="宋体"/>
          <w:kern w:val="28"/>
          <w:lang w:eastAsia="zh-CN"/>
        </w:rPr>
        <w:t>；</w:t>
      </w:r>
    </w:p>
    <w:p w14:paraId="56BCB3E4">
      <w:pPr>
        <w:widowControl/>
        <w:spacing w:line="400" w:lineRule="exact"/>
        <w:ind w:firstLine="420" w:firstLineChars="200"/>
        <w:rPr>
          <w:rFonts w:hint="eastAsia" w:ascii="宋体" w:hAnsi="宋体" w:eastAsia="宋体" w:cs="宋体"/>
          <w:kern w:val="28"/>
          <w:lang w:eastAsia="zh-CN"/>
        </w:rPr>
      </w:pPr>
      <w:r>
        <w:rPr>
          <w:rFonts w:hint="eastAsia" w:ascii="宋体" w:hAnsi="宋体" w:cs="宋体"/>
          <w:kern w:val="28"/>
          <w:lang w:val="en-US" w:eastAsia="zh-CN"/>
        </w:rPr>
        <w:t>7.</w:t>
      </w:r>
      <w:r>
        <w:rPr>
          <w:rFonts w:hint="eastAsia" w:ascii="宋体" w:hAnsi="宋体" w:cs="宋体"/>
          <w:kern w:val="28"/>
        </w:rPr>
        <w:t>供应商不处于中国政府采购网</w:t>
      </w:r>
      <w:r>
        <w:rPr>
          <w:rFonts w:ascii="宋体" w:hAnsi="宋体"/>
          <w:kern w:val="28"/>
        </w:rPr>
        <w:t>(www.ccgp.gov.cn)</w:t>
      </w:r>
      <w:r>
        <w:rPr>
          <w:rFonts w:hint="eastAsia" w:ascii="宋体" w:hAnsi="宋体" w:cs="宋体"/>
          <w:kern w:val="28"/>
        </w:rPr>
        <w:t>“政府采购严重违法失信行为信息记录”中的禁止参加政府采购活动期间。（供应商需</w:t>
      </w:r>
      <w:bookmarkStart w:id="5" w:name="_Hlk38352184"/>
      <w:r>
        <w:rPr>
          <w:rFonts w:hint="eastAsia" w:ascii="宋体" w:hAnsi="宋体" w:cs="宋体"/>
          <w:kern w:val="28"/>
        </w:rPr>
        <w:t>提供投标截止日前在中国政府采购网</w:t>
      </w:r>
      <w:r>
        <w:rPr>
          <w:rFonts w:ascii="宋体" w:hAnsi="宋体"/>
          <w:kern w:val="28"/>
        </w:rPr>
        <w:t xml:space="preserve">(www.ccgp.gov.cn) </w:t>
      </w:r>
      <w:r>
        <w:rPr>
          <w:rFonts w:hint="eastAsia" w:ascii="宋体" w:hAnsi="宋体" w:cs="宋体"/>
          <w:kern w:val="28"/>
        </w:rPr>
        <w:t>查询结果截图</w:t>
      </w:r>
      <w:bookmarkEnd w:id="5"/>
      <w:r>
        <w:rPr>
          <w:rFonts w:hint="eastAsia" w:ascii="宋体" w:hAnsi="宋体" w:cs="宋体"/>
          <w:kern w:val="28"/>
        </w:rPr>
        <w:t>作为证明材料，采购人在开标当天查询验证）</w:t>
      </w:r>
      <w:r>
        <w:rPr>
          <w:rFonts w:hint="eastAsia" w:ascii="宋体" w:hAnsi="宋体" w:cs="宋体"/>
          <w:kern w:val="28"/>
          <w:lang w:eastAsia="zh-CN"/>
        </w:rPr>
        <w:t>；</w:t>
      </w:r>
    </w:p>
    <w:p w14:paraId="1709674B">
      <w:pPr>
        <w:pStyle w:val="36"/>
        <w:spacing w:line="400" w:lineRule="exact"/>
        <w:ind w:firstLineChars="200"/>
        <w:rPr>
          <w:rFonts w:ascii="宋体" w:hAnsi="宋体"/>
        </w:rPr>
      </w:pPr>
      <w:r>
        <w:rPr>
          <w:rFonts w:hint="eastAsia" w:ascii="宋体" w:hAnsi="宋体" w:cs="宋体"/>
          <w:lang w:val="en-US" w:eastAsia="zh-CN"/>
        </w:rPr>
        <w:t>8.</w:t>
      </w:r>
      <w:r>
        <w:rPr>
          <w:rFonts w:hint="eastAsia" w:ascii="宋体" w:hAnsi="宋体" w:cs="宋体"/>
        </w:rPr>
        <w:t>本项目不接受联合体投标；</w:t>
      </w:r>
    </w:p>
    <w:p w14:paraId="607131E8">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kern w:val="28"/>
        </w:rPr>
        <w:t>七、询价文件索取：请符合资格条件的供应商到南宁市人力资源和社会保障局网站（http://rsj.nanning.gov.cn/）或广西南宁技师学院网站（https://www.nngjjx.com/）的通知公告处下载。</w:t>
      </w:r>
    </w:p>
    <w:p w14:paraId="58D853E8">
      <w:pPr>
        <w:autoSpaceDE w:val="0"/>
        <w:autoSpaceDN w:val="0"/>
        <w:adjustRightInd w:val="0"/>
        <w:snapToGrid w:val="0"/>
        <w:spacing w:line="400" w:lineRule="exact"/>
        <w:ind w:firstLine="420" w:firstLineChars="200"/>
        <w:rPr>
          <w:rFonts w:hint="default" w:ascii="宋体" w:hAnsi="宋体" w:eastAsia="宋体" w:cs="宋体"/>
          <w:color w:val="auto"/>
          <w:kern w:val="28"/>
          <w:lang w:val="en-US" w:eastAsia="zh-CN"/>
        </w:rPr>
      </w:pPr>
      <w:r>
        <w:rPr>
          <w:rFonts w:hint="eastAsia" w:ascii="宋体" w:hAnsi="宋体" w:cs="宋体"/>
          <w:kern w:val="28"/>
        </w:rPr>
        <w:t>八、响应文件递交截止</w:t>
      </w:r>
      <w:r>
        <w:rPr>
          <w:rFonts w:hint="eastAsia" w:ascii="宋体" w:hAnsi="宋体" w:cs="宋体"/>
          <w:color w:val="auto"/>
          <w:kern w:val="28"/>
        </w:rPr>
        <w:t>时间：</w:t>
      </w:r>
      <w:r>
        <w:rPr>
          <w:rFonts w:hint="eastAsia" w:ascii="宋体" w:hAnsi="宋体" w:cs="宋体"/>
          <w:color w:val="auto"/>
        </w:rPr>
        <w:t>202</w:t>
      </w:r>
      <w:r>
        <w:rPr>
          <w:rFonts w:hint="eastAsia" w:ascii="宋体" w:hAnsi="宋体" w:cs="宋体"/>
          <w:color w:val="auto"/>
          <w:lang w:val="en-US" w:eastAsia="zh-CN"/>
        </w:rPr>
        <w:t>5</w:t>
      </w:r>
      <w:r>
        <w:rPr>
          <w:rFonts w:hint="eastAsia" w:ascii="宋体" w:hAnsi="宋体" w:cs="宋体"/>
          <w:color w:val="auto"/>
        </w:rPr>
        <w:t>年</w:t>
      </w:r>
      <w:r>
        <w:rPr>
          <w:rFonts w:ascii="宋体" w:hAnsi="宋体" w:cs="宋体"/>
          <w:color w:val="auto"/>
        </w:rPr>
        <w:t>1</w:t>
      </w:r>
      <w:r>
        <w:rPr>
          <w:rFonts w:hint="eastAsia" w:ascii="宋体" w:hAnsi="宋体" w:cs="宋体"/>
          <w:color w:val="auto"/>
          <w:lang w:val="en-US" w:eastAsia="zh-CN"/>
        </w:rPr>
        <w:t>2</w:t>
      </w:r>
      <w:r>
        <w:rPr>
          <w:rFonts w:hint="eastAsia" w:ascii="宋体" w:hAnsi="宋体" w:cs="宋体"/>
          <w:color w:val="auto"/>
        </w:rPr>
        <w:t>月</w:t>
      </w:r>
      <w:r>
        <w:rPr>
          <w:rFonts w:hint="eastAsia" w:ascii="宋体" w:hAnsi="宋体" w:cs="宋体"/>
          <w:color w:val="auto"/>
          <w:lang w:val="en-US" w:eastAsia="zh-CN"/>
        </w:rPr>
        <w:t>20</w:t>
      </w:r>
      <w:r>
        <w:rPr>
          <w:rFonts w:hint="eastAsia" w:ascii="宋体" w:hAnsi="宋体" w:cs="宋体"/>
          <w:color w:val="auto"/>
        </w:rPr>
        <w:t>日</w:t>
      </w:r>
      <w:r>
        <w:rPr>
          <w:rFonts w:hint="eastAsia" w:ascii="宋体" w:hAnsi="宋体" w:cs="宋体"/>
          <w:color w:val="auto"/>
          <w:lang w:val="en-US" w:eastAsia="zh-CN"/>
        </w:rPr>
        <w:t>下</w:t>
      </w:r>
      <w:r>
        <w:rPr>
          <w:rFonts w:hint="eastAsia" w:ascii="宋体" w:hAnsi="宋体" w:cs="宋体"/>
          <w:color w:val="auto"/>
        </w:rPr>
        <w:t>午</w:t>
      </w:r>
      <w:r>
        <w:rPr>
          <w:rFonts w:hint="eastAsia" w:ascii="宋体" w:hAnsi="宋体" w:cs="宋体"/>
          <w:color w:val="auto"/>
          <w:lang w:val="en-US" w:eastAsia="zh-CN"/>
        </w:rPr>
        <w:t>17:00</w:t>
      </w:r>
    </w:p>
    <w:p w14:paraId="49FCAA53">
      <w:pPr>
        <w:autoSpaceDE w:val="0"/>
        <w:autoSpaceDN w:val="0"/>
        <w:adjustRightInd w:val="0"/>
        <w:snapToGrid w:val="0"/>
        <w:spacing w:line="400" w:lineRule="exact"/>
        <w:ind w:firstLine="420" w:firstLineChars="200"/>
        <w:rPr>
          <w:rFonts w:ascii="宋体" w:hAnsi="宋体" w:cs="宋体"/>
          <w:color w:val="auto"/>
          <w:kern w:val="28"/>
        </w:rPr>
      </w:pPr>
      <w:r>
        <w:rPr>
          <w:rFonts w:hint="eastAsia" w:ascii="宋体" w:hAnsi="宋体" w:cs="宋体"/>
          <w:color w:val="auto"/>
          <w:kern w:val="28"/>
        </w:rPr>
        <w:t>九、响应文件递交地点：南宁市大学西路157号广西南宁技师学院综合楼16楼1606室，不接收邮寄方式递交的响应文件。</w:t>
      </w:r>
    </w:p>
    <w:p w14:paraId="04B4D133">
      <w:pPr>
        <w:autoSpaceDE w:val="0"/>
        <w:autoSpaceDN w:val="0"/>
        <w:adjustRightInd w:val="0"/>
        <w:snapToGrid w:val="0"/>
        <w:spacing w:line="400" w:lineRule="exact"/>
        <w:ind w:firstLine="420" w:firstLineChars="200"/>
        <w:rPr>
          <w:rFonts w:ascii="宋体" w:hAnsi="宋体" w:cs="宋体"/>
          <w:color w:val="auto"/>
        </w:rPr>
      </w:pPr>
      <w:r>
        <w:rPr>
          <w:rFonts w:hint="eastAsia" w:ascii="宋体" w:hAnsi="宋体" w:cs="宋体"/>
          <w:color w:val="auto"/>
          <w:kern w:val="28"/>
        </w:rPr>
        <w:t>十、</w:t>
      </w:r>
      <w:r>
        <w:rPr>
          <w:rFonts w:hint="eastAsia" w:ascii="宋体" w:hAnsi="宋体" w:cs="宋体"/>
          <w:color w:val="auto"/>
        </w:rPr>
        <w:t>联系事项</w:t>
      </w:r>
    </w:p>
    <w:p w14:paraId="0CF96A13">
      <w:pPr>
        <w:adjustRightInd w:val="0"/>
        <w:snapToGrid w:val="0"/>
        <w:spacing w:line="400" w:lineRule="exact"/>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r>
        <w:rPr>
          <w:rFonts w:hint="eastAsia" w:ascii="宋体" w:hAnsi="宋体"/>
          <w:color w:val="auto"/>
        </w:rPr>
        <w:t>，</w:t>
      </w:r>
      <w:r>
        <w:rPr>
          <w:rFonts w:hint="eastAsia" w:ascii="宋体" w:hAnsi="宋体" w:cs="宋体"/>
          <w:color w:val="auto"/>
        </w:rPr>
        <w:t>联系地址：南宁市大学西路157号</w:t>
      </w:r>
      <w:r>
        <w:rPr>
          <w:rFonts w:ascii="宋体" w:hAnsi="宋体"/>
          <w:color w:val="auto"/>
        </w:rPr>
        <w:t>，</w:t>
      </w:r>
      <w:r>
        <w:rPr>
          <w:rFonts w:hint="eastAsia" w:ascii="宋体" w:hAnsi="宋体" w:cs="宋体"/>
          <w:color w:val="auto"/>
        </w:rPr>
        <w:t>联系人：</w:t>
      </w:r>
      <w:r>
        <w:rPr>
          <w:rFonts w:hint="eastAsia" w:ascii="宋体" w:hAnsi="宋体" w:cs="宋体"/>
          <w:color w:val="auto"/>
          <w:lang w:val="en-US" w:eastAsia="zh-CN"/>
        </w:rPr>
        <w:t>刘</w:t>
      </w:r>
      <w:r>
        <w:rPr>
          <w:rFonts w:hint="eastAsia" w:ascii="宋体" w:hAnsi="宋体" w:cs="宋体"/>
          <w:color w:val="auto"/>
        </w:rPr>
        <w:t>老师，联系电话：0771-4928055。</w:t>
      </w:r>
    </w:p>
    <w:p w14:paraId="04CCDD69">
      <w:pPr>
        <w:adjustRightInd w:val="0"/>
        <w:snapToGrid w:val="0"/>
        <w:spacing w:line="400" w:lineRule="exact"/>
        <w:ind w:left="4620" w:leftChars="700" w:hanging="3150" w:hangingChars="15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14:paraId="41ECA477">
      <w:pPr>
        <w:spacing w:line="400" w:lineRule="exact"/>
        <w:ind w:right="1050" w:firstLine="420" w:firstLineChars="200"/>
        <w:jc w:val="center"/>
        <w:rPr>
          <w:rFonts w:hint="default" w:ascii="宋体" w:hAnsi="宋体" w:eastAsia="宋体"/>
          <w:color w:val="auto"/>
          <w:lang w:val="en-US" w:eastAsia="zh-CN"/>
        </w:rPr>
      </w:pPr>
      <w:r>
        <w:rPr>
          <w:rFonts w:hint="eastAsia" w:ascii="宋体" w:hAnsi="宋体" w:cs="宋体"/>
          <w:color w:val="auto"/>
          <w:lang w:val="en-US" w:eastAsia="zh-CN"/>
        </w:rPr>
        <w:t xml:space="preserve">                                      </w:t>
      </w:r>
      <w:r>
        <w:rPr>
          <w:rFonts w:hint="eastAsia" w:ascii="宋体" w:hAnsi="宋体" w:cs="宋体"/>
          <w:color w:val="auto"/>
        </w:rPr>
        <w:t>发布时间：</w:t>
      </w:r>
      <w:r>
        <w:rPr>
          <w:rFonts w:hint="eastAsia" w:ascii="宋体" w:hAnsi="宋体" w:cs="宋体"/>
          <w:color w:val="auto"/>
          <w:lang w:val="en-US" w:eastAsia="zh-CN"/>
        </w:rPr>
        <w:t>2024年12月17 日</w:t>
      </w:r>
    </w:p>
    <w:p w14:paraId="28D83CDF">
      <w:pPr>
        <w:pStyle w:val="36"/>
        <w:ind w:firstLine="0" w:firstLineChars="0"/>
      </w:pPr>
    </w:p>
    <w:p w14:paraId="307E8242">
      <w:pPr>
        <w:widowControl/>
        <w:jc w:val="left"/>
        <w:rPr>
          <w:rFonts w:ascii="方正小标宋_GBK" w:eastAsia="方正小标宋_GBK" w:cs="黑体"/>
          <w:sz w:val="32"/>
          <w:szCs w:val="32"/>
        </w:rPr>
      </w:pPr>
      <w:bookmarkStart w:id="6" w:name="_Toc23927923"/>
      <w:r>
        <w:rPr>
          <w:rFonts w:ascii="方正小标宋_GBK" w:eastAsia="方正小标宋_GBK" w:cs="黑体"/>
          <w:sz w:val="32"/>
          <w:szCs w:val="32"/>
        </w:rPr>
        <w:br w:type="page"/>
      </w:r>
    </w:p>
    <w:bookmarkEnd w:id="6"/>
    <w:p w14:paraId="4D883D15">
      <w:pPr>
        <w:spacing w:line="360" w:lineRule="auto"/>
        <w:jc w:val="center"/>
        <w:rPr>
          <w:rFonts w:ascii="方正小标宋_GBK" w:eastAsia="方正小标宋_GBK" w:cs="黑体"/>
          <w:sz w:val="32"/>
          <w:szCs w:val="32"/>
        </w:rPr>
      </w:pPr>
      <w:bookmarkStart w:id="7" w:name="_Toc454458052"/>
      <w:r>
        <w:rPr>
          <w:rFonts w:hint="eastAsia" w:ascii="方正小标宋_GBK" w:eastAsia="方正小标宋_GBK" w:cs="黑体"/>
          <w:sz w:val="32"/>
          <w:szCs w:val="32"/>
        </w:rPr>
        <w:t>第二章　采购需求书</w:t>
      </w:r>
    </w:p>
    <w:p w14:paraId="73BBDB1B">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hint="eastAsia" w:ascii="宋体" w:hAnsi="宋体" w:cs="宋体"/>
          <w:b/>
          <w:bCs/>
        </w:rPr>
        <w:t>说明：</w:t>
      </w:r>
    </w:p>
    <w:p w14:paraId="7433BBBD">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lang w:eastAsia="zh-CN"/>
        </w:rPr>
        <w:t>（</w:t>
      </w:r>
      <w:r>
        <w:rPr>
          <w:rFonts w:hint="eastAsia" w:ascii="宋体" w:hAnsi="Times New Roman" w:cs="宋体"/>
          <w:lang w:val="en-US" w:eastAsia="zh-CN"/>
        </w:rPr>
        <w:t>一</w:t>
      </w:r>
      <w:r>
        <w:rPr>
          <w:rFonts w:hint="eastAsia" w:ascii="宋体" w:hAnsi="Times New Roman" w:cs="宋体"/>
          <w:lang w:eastAsia="zh-CN"/>
        </w:rPr>
        <w:t>）</w:t>
      </w:r>
      <w:r>
        <w:rPr>
          <w:rFonts w:hint="eastAsia" w:ascii="宋体" w:hAnsi="Times New Roman" w:cs="宋体"/>
        </w:rPr>
        <w:t>供应商须对本项目的货物及服务进行整体响应，任何只对项目其中一部分内容进行的响应都被视为无效投标。</w:t>
      </w:r>
    </w:p>
    <w:p w14:paraId="23F57EE9">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lang w:eastAsia="zh-CN"/>
        </w:rPr>
        <w:t>（</w:t>
      </w:r>
      <w:r>
        <w:rPr>
          <w:rFonts w:hint="eastAsia" w:ascii="宋体" w:hAnsi="Times New Roman" w:cs="宋体"/>
          <w:lang w:val="en-US" w:eastAsia="zh-CN"/>
        </w:rPr>
        <w:t>二</w:t>
      </w:r>
      <w:r>
        <w:rPr>
          <w:rFonts w:hint="eastAsia" w:ascii="宋体" w:hAnsi="Times New Roman" w:cs="宋体"/>
          <w:lang w:eastAsia="zh-CN"/>
        </w:rPr>
        <w:t>）</w:t>
      </w:r>
      <w:r>
        <w:rPr>
          <w:rFonts w:hint="eastAsia" w:ascii="宋体" w:hAnsi="Times New Roman" w:cs="宋体"/>
        </w:rPr>
        <w:t>采购需求书中打</w:t>
      </w:r>
      <w:r>
        <w:rPr>
          <w:rFonts w:hint="eastAsia" w:ascii="宋体" w:hAnsi="Times New Roman" w:cs="宋体"/>
          <w:highlight w:val="none"/>
        </w:rPr>
        <w:t>“▲”</w:t>
      </w:r>
      <w:r>
        <w:rPr>
          <w:rFonts w:hint="eastAsia" w:ascii="宋体" w:hAnsi="Times New Roman" w:cs="宋体"/>
        </w:rPr>
        <w:t>号条款为实质性条款，供应商如有任何一条负偏离则导致投标无效。</w:t>
      </w:r>
    </w:p>
    <w:p w14:paraId="037404CF">
      <w:pPr>
        <w:widowControl/>
        <w:tabs>
          <w:tab w:val="left" w:pos="420"/>
        </w:tabs>
        <w:spacing w:line="360" w:lineRule="auto"/>
        <w:ind w:firstLine="420" w:firstLineChars="200"/>
        <w:jc w:val="left"/>
        <w:rPr>
          <w:rFonts w:ascii="宋体" w:hAnsi="Times New Roman" w:cs="宋体"/>
        </w:rPr>
      </w:pPr>
      <w:r>
        <w:rPr>
          <w:rFonts w:hint="eastAsia" w:ascii="宋体" w:hAnsi="Times New Roman" w:cs="宋体"/>
          <w:lang w:eastAsia="zh-CN"/>
        </w:rPr>
        <w:t>（</w:t>
      </w:r>
      <w:r>
        <w:rPr>
          <w:rFonts w:hint="eastAsia" w:ascii="宋体" w:hAnsi="Times New Roman" w:cs="宋体"/>
          <w:lang w:val="en-US" w:eastAsia="zh-CN"/>
        </w:rPr>
        <w:t>三</w:t>
      </w:r>
      <w:r>
        <w:rPr>
          <w:rFonts w:hint="eastAsia" w:ascii="宋体" w:hAnsi="Times New Roman" w:cs="宋体"/>
          <w:lang w:eastAsia="zh-CN"/>
        </w:rPr>
        <w:t>）</w:t>
      </w:r>
      <w:r>
        <w:rPr>
          <w:rFonts w:hint="eastAsia" w:ascii="宋体" w:hAnsi="Times New Roman" w:cs="宋体"/>
        </w:rPr>
        <w:t>使用财政性资金，但本项目采购内容为集中采购目录以外且采购限额标准以下，不纳入政府采购管理范围，由采购人按本单位的内控制度自行采购。</w:t>
      </w:r>
    </w:p>
    <w:p w14:paraId="174670BE">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二、</w:t>
      </w:r>
      <w:r>
        <w:rPr>
          <w:rFonts w:hint="eastAsia" w:ascii="宋体" w:hAnsi="宋体" w:cs="宋体"/>
          <w:b/>
          <w:bCs/>
        </w:rPr>
        <w:t>采购内容简述</w:t>
      </w:r>
    </w:p>
    <w:p w14:paraId="79D8C6F7">
      <w:pPr>
        <w:snapToGrid w:val="0"/>
        <w:spacing w:line="360" w:lineRule="auto"/>
        <w:ind w:firstLine="420" w:firstLineChars="200"/>
        <w:rPr>
          <w:rFonts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一</w:t>
      </w:r>
      <w:r>
        <w:rPr>
          <w:rFonts w:hint="eastAsia" w:ascii="宋体" w:hAnsi="Times New Roman" w:cs="宋体"/>
          <w:bCs/>
          <w:szCs w:val="20"/>
          <w:lang w:eastAsia="zh-CN"/>
        </w:rPr>
        <w:t>）</w:t>
      </w:r>
      <w:r>
        <w:rPr>
          <w:rFonts w:hint="eastAsia" w:ascii="宋体" w:hAnsi="Times New Roman" w:cs="宋体"/>
          <w:bCs/>
          <w:szCs w:val="20"/>
        </w:rPr>
        <w:t>采购内容：详见“四、采购清单”；</w:t>
      </w:r>
    </w:p>
    <w:p w14:paraId="3ECBD95F">
      <w:pPr>
        <w:snapToGrid w:val="0"/>
        <w:spacing w:line="360" w:lineRule="auto"/>
        <w:ind w:firstLine="420" w:firstLineChars="200"/>
        <w:rPr>
          <w:rFonts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二</w:t>
      </w:r>
      <w:r>
        <w:rPr>
          <w:rFonts w:hint="eastAsia" w:ascii="宋体" w:hAnsi="Times New Roman" w:cs="宋体"/>
          <w:bCs/>
          <w:szCs w:val="20"/>
          <w:lang w:eastAsia="zh-CN"/>
        </w:rPr>
        <w:t>）</w:t>
      </w:r>
      <w:r>
        <w:rPr>
          <w:rFonts w:hint="eastAsia" w:ascii="宋体" w:hAnsi="Times New Roman" w:cs="宋体"/>
          <w:bCs/>
          <w:szCs w:val="20"/>
        </w:rPr>
        <w:t>采购数量：详见“四、采购清单”；</w:t>
      </w:r>
    </w:p>
    <w:p w14:paraId="229C59B1">
      <w:pPr>
        <w:snapToGrid w:val="0"/>
        <w:spacing w:line="360" w:lineRule="auto"/>
        <w:ind w:firstLine="420" w:firstLineChars="200"/>
        <w:rPr>
          <w:rFonts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三</w:t>
      </w:r>
      <w:r>
        <w:rPr>
          <w:rFonts w:hint="eastAsia" w:ascii="宋体" w:hAnsi="Times New Roman" w:cs="宋体"/>
          <w:bCs/>
          <w:szCs w:val="20"/>
          <w:lang w:eastAsia="zh-CN"/>
        </w:rPr>
        <w:t>）</w:t>
      </w:r>
      <w:r>
        <w:rPr>
          <w:rFonts w:hint="eastAsia" w:ascii="宋体" w:hAnsi="Times New Roman" w:cs="宋体"/>
          <w:bCs/>
          <w:szCs w:val="20"/>
        </w:rPr>
        <w:t>采购要求：详见“五、商务要求”；</w:t>
      </w:r>
    </w:p>
    <w:p w14:paraId="6C939FC4">
      <w:pPr>
        <w:snapToGrid w:val="0"/>
        <w:spacing w:line="360" w:lineRule="auto"/>
        <w:ind w:firstLine="420" w:firstLineChars="200"/>
        <w:rPr>
          <w:rFonts w:ascii="宋体" w:hAnsi="Times New Roman" w:cs="宋体"/>
          <w:bCs/>
          <w:szCs w:val="20"/>
        </w:rPr>
      </w:pPr>
      <w:r>
        <w:rPr>
          <w:rFonts w:hint="eastAsia" w:ascii="宋体" w:hAnsi="Times New Roman" w:cs="宋体"/>
          <w:bCs/>
          <w:szCs w:val="20"/>
          <w:lang w:eastAsia="zh-CN"/>
        </w:rPr>
        <w:t>（</w:t>
      </w:r>
      <w:r>
        <w:rPr>
          <w:rFonts w:hint="eastAsia" w:ascii="宋体" w:hAnsi="Times New Roman" w:cs="宋体"/>
          <w:bCs/>
          <w:szCs w:val="20"/>
          <w:lang w:val="en-US" w:eastAsia="zh-CN"/>
        </w:rPr>
        <w:t>四</w:t>
      </w:r>
      <w:r>
        <w:rPr>
          <w:rFonts w:hint="eastAsia" w:ascii="宋体" w:hAnsi="Times New Roman" w:cs="宋体"/>
          <w:bCs/>
          <w:szCs w:val="20"/>
          <w:lang w:eastAsia="zh-CN"/>
        </w:rPr>
        <w:t>）</w:t>
      </w:r>
      <w:r>
        <w:rPr>
          <w:rFonts w:ascii="宋体" w:hAnsi="Times New Roman" w:cs="宋体"/>
          <w:bCs/>
          <w:szCs w:val="20"/>
        </w:rPr>
        <w:t>采购</w:t>
      </w:r>
      <w:r>
        <w:rPr>
          <w:rFonts w:hint="eastAsia" w:ascii="宋体" w:hAnsi="Times New Roman" w:cs="宋体"/>
          <w:bCs/>
          <w:szCs w:val="20"/>
        </w:rPr>
        <w:t>预算金额：人民</w:t>
      </w:r>
      <w:r>
        <w:rPr>
          <w:rFonts w:hint="eastAsia" w:ascii="宋体" w:hAnsi="Times New Roman" w:cs="宋体"/>
          <w:bCs/>
          <w:color w:val="auto"/>
          <w:szCs w:val="20"/>
        </w:rPr>
        <w:t>币</w:t>
      </w:r>
      <w:r>
        <w:rPr>
          <w:rFonts w:hint="eastAsia" w:ascii="宋体" w:hAnsi="Times New Roman" w:cs="宋体"/>
          <w:bCs/>
          <w:color w:val="auto"/>
          <w:szCs w:val="20"/>
          <w:lang w:val="en-US" w:eastAsia="zh-CN"/>
        </w:rPr>
        <w:t>5</w:t>
      </w:r>
      <w:r>
        <w:rPr>
          <w:rFonts w:hint="eastAsia" w:ascii="宋体" w:hAnsi="Times New Roman" w:cs="宋体"/>
          <w:bCs/>
          <w:color w:val="auto"/>
          <w:szCs w:val="20"/>
          <w:u w:val="single"/>
          <w:lang w:val="en-US" w:eastAsia="zh-CN"/>
        </w:rPr>
        <w:t>0</w:t>
      </w:r>
      <w:r>
        <w:rPr>
          <w:rFonts w:ascii="宋体" w:hAnsi="Times New Roman" w:cs="宋体"/>
          <w:bCs/>
          <w:color w:val="auto"/>
          <w:u w:val="single"/>
        </w:rPr>
        <w:t>000.00</w:t>
      </w:r>
      <w:r>
        <w:rPr>
          <w:rFonts w:hint="eastAsia" w:ascii="宋体" w:hAnsi="Times New Roman" w:cs="宋体"/>
          <w:bCs/>
          <w:color w:val="auto"/>
          <w:szCs w:val="20"/>
        </w:rPr>
        <w:t>元</w:t>
      </w:r>
      <w:r>
        <w:rPr>
          <w:rFonts w:hint="eastAsia" w:ascii="宋体" w:hAnsi="Times New Roman" w:cs="宋体"/>
          <w:bCs/>
          <w:szCs w:val="20"/>
        </w:rPr>
        <w:t>（供应商报价超过预算金额将按无效投标处理）。</w:t>
      </w:r>
    </w:p>
    <w:p w14:paraId="0465993D">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14:paraId="4496BBF0">
      <w:pPr>
        <w:widowControl/>
        <w:tabs>
          <w:tab w:val="left" w:pos="424"/>
        </w:tabs>
        <w:spacing w:line="360" w:lineRule="auto"/>
        <w:ind w:firstLine="420" w:firstLineChars="200"/>
        <w:jc w:val="left"/>
        <w:rPr>
          <w:rFonts w:hAnsi="宋体"/>
          <w:kern w:val="28"/>
        </w:rPr>
      </w:pPr>
      <w:r>
        <w:rPr>
          <w:rFonts w:hint="eastAsia" w:ascii="宋体" w:hAnsi="Times New Roman" w:cs="宋体"/>
        </w:rPr>
        <w:t>1</w:t>
      </w:r>
      <w:r>
        <w:rPr>
          <w:rFonts w:hint="eastAsia" w:ascii="宋体" w:hAnsi="Times New Roman" w:cs="宋体"/>
          <w:lang w:eastAsia="zh-CN"/>
        </w:rPr>
        <w:t>.</w:t>
      </w:r>
      <w:r>
        <w:rPr>
          <w:rFonts w:hint="eastAsia" w:ascii="宋体" w:hAnsi="Times New Roman" w:cs="宋体"/>
        </w:rPr>
        <w:t>本次招标项目范围：</w:t>
      </w:r>
      <w:r>
        <w:rPr>
          <w:rFonts w:hint="eastAsia" w:cs="宋体"/>
          <w:kern w:val="28"/>
        </w:rPr>
        <w:t>广西南宁技师学院“四害”及红火蚁、隐翅虫、臭虫防治服务</w:t>
      </w:r>
      <w:r>
        <w:rPr>
          <w:rFonts w:hint="eastAsia" w:ascii="宋体" w:hAnsi="Times New Roman" w:cs="宋体"/>
          <w:bCs/>
          <w:szCs w:val="20"/>
        </w:rPr>
        <w:t>。</w:t>
      </w:r>
    </w:p>
    <w:p w14:paraId="1F7BDC62">
      <w:pPr>
        <w:pStyle w:val="3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420" w:firstLineChars="200"/>
        <w:jc w:val="left"/>
        <w:textAlignment w:val="auto"/>
        <w:outlineLvl w:val="9"/>
        <w:rPr>
          <w:rFonts w:hint="eastAsia" w:ascii="宋体" w:hAnsi="Times New Roman" w:eastAsia="宋体" w:cs="宋体"/>
          <w:kern w:val="2"/>
          <w:sz w:val="21"/>
          <w:szCs w:val="21"/>
          <w:highlight w:val="none"/>
          <w:lang w:val="en-US" w:eastAsia="zh-CN" w:bidi="ar-SA"/>
        </w:rPr>
      </w:pPr>
      <w:r>
        <w:rPr>
          <w:rFonts w:hint="eastAsia" w:hAnsi="Times New Roman" w:cs="宋体"/>
          <w:kern w:val="2"/>
          <w:sz w:val="21"/>
          <w:szCs w:val="21"/>
          <w:highlight w:val="none"/>
          <w:lang w:val="en-US" w:eastAsia="zh-CN" w:bidi="ar-SA"/>
        </w:rPr>
        <w:t>2.</w:t>
      </w:r>
      <w:r>
        <w:rPr>
          <w:rFonts w:hint="eastAsia" w:ascii="宋体" w:hAnsi="Times New Roman" w:eastAsia="宋体" w:cs="宋体"/>
          <w:kern w:val="2"/>
          <w:sz w:val="21"/>
          <w:szCs w:val="21"/>
          <w:highlight w:val="none"/>
          <w:lang w:val="en-US" w:eastAsia="zh-CN" w:bidi="ar-SA"/>
        </w:rPr>
        <w:t>投标人可自行前往踏勘。</w:t>
      </w:r>
    </w:p>
    <w:p w14:paraId="06837222">
      <w:pPr>
        <w:pStyle w:val="3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420" w:firstLineChars="200"/>
        <w:jc w:val="left"/>
        <w:textAlignment w:val="auto"/>
        <w:outlineLvl w:val="9"/>
        <w:rPr>
          <w:rFonts w:hint="eastAsia" w:ascii="宋体" w:hAnsi="Times New Roman" w:eastAsia="宋体" w:cs="宋体"/>
          <w:kern w:val="2"/>
          <w:sz w:val="21"/>
          <w:szCs w:val="21"/>
          <w:highlight w:val="none"/>
          <w:lang w:val="en-US" w:eastAsia="zh-CN" w:bidi="ar-SA"/>
        </w:rPr>
      </w:pPr>
      <w:r>
        <w:rPr>
          <w:rFonts w:hint="eastAsia" w:hAnsi="Times New Roman" w:cs="宋体"/>
          <w:kern w:val="2"/>
          <w:sz w:val="21"/>
          <w:szCs w:val="21"/>
          <w:highlight w:val="none"/>
          <w:lang w:val="en-US" w:eastAsia="zh-CN" w:bidi="ar-SA"/>
        </w:rPr>
        <w:t>3.</w:t>
      </w:r>
      <w:r>
        <w:rPr>
          <w:rFonts w:hint="eastAsia" w:ascii="宋体" w:hAnsi="Times New Roman" w:eastAsia="宋体" w:cs="宋体"/>
          <w:kern w:val="2"/>
          <w:sz w:val="21"/>
          <w:szCs w:val="21"/>
          <w:highlight w:val="none"/>
          <w:lang w:val="en-US" w:eastAsia="zh-CN" w:bidi="ar-SA"/>
        </w:rPr>
        <w:t>本项目不得转包，未经采购人同意不得分包。如发现中标人擅自分包或转包，采购人可单方面终止合同，并对中标人收取承包价3%的违约金。</w:t>
      </w:r>
    </w:p>
    <w:p w14:paraId="48F2827F">
      <w:pPr>
        <w:pStyle w:val="3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right="0" w:rightChars="0" w:firstLine="420" w:firstLineChars="200"/>
        <w:jc w:val="left"/>
        <w:textAlignment w:val="auto"/>
        <w:outlineLvl w:val="9"/>
        <w:rPr>
          <w:rFonts w:hint="eastAsia" w:ascii="宋体" w:hAnsi="Times New Roman" w:eastAsia="宋体" w:cs="宋体"/>
          <w:kern w:val="2"/>
          <w:sz w:val="21"/>
          <w:szCs w:val="21"/>
          <w:highlight w:val="none"/>
          <w:lang w:val="en-US" w:eastAsia="zh-CN" w:bidi="ar-SA"/>
        </w:rPr>
      </w:pPr>
      <w:r>
        <w:rPr>
          <w:rFonts w:hint="eastAsia" w:hAnsi="Times New Roman" w:cs="宋体"/>
          <w:kern w:val="2"/>
          <w:sz w:val="21"/>
          <w:szCs w:val="21"/>
          <w:highlight w:val="none"/>
          <w:lang w:val="en-US" w:eastAsia="zh-CN" w:bidi="ar-SA"/>
        </w:rPr>
        <w:t>4.</w:t>
      </w:r>
      <w:r>
        <w:rPr>
          <w:rFonts w:hint="eastAsia" w:ascii="宋体" w:hAnsi="Times New Roman" w:eastAsia="宋体" w:cs="宋体"/>
          <w:kern w:val="2"/>
          <w:sz w:val="21"/>
          <w:szCs w:val="21"/>
          <w:highlight w:val="none"/>
          <w:lang w:val="en-US" w:eastAsia="zh-CN" w:bidi="ar-SA"/>
        </w:rPr>
        <w:t>中标人必须保证消杀效果，如因消杀效果达不到消杀标准要求，采购人有权拒绝支付本项目服务款项。</w:t>
      </w:r>
    </w:p>
    <w:p w14:paraId="133D1ED0">
      <w:pPr>
        <w:spacing w:line="560" w:lineRule="exact"/>
        <w:ind w:firstLine="420" w:firstLineChars="200"/>
        <w:rPr>
          <w:rFonts w:hint="eastAsia" w:ascii="宋体" w:hAnsi="Times New Roman" w:eastAsia="宋体" w:cs="宋体"/>
          <w:kern w:val="2"/>
          <w:sz w:val="21"/>
          <w:szCs w:val="21"/>
          <w:highlight w:val="none"/>
          <w:lang w:val="en-US" w:eastAsia="zh-CN" w:bidi="ar-SA"/>
        </w:rPr>
      </w:pPr>
      <w:r>
        <w:rPr>
          <w:rFonts w:hint="eastAsia" w:ascii="宋体" w:hAnsi="Times New Roman" w:cs="宋体"/>
          <w:kern w:val="2"/>
          <w:sz w:val="21"/>
          <w:szCs w:val="21"/>
          <w:highlight w:val="none"/>
          <w:lang w:val="en-US" w:eastAsia="zh-CN" w:bidi="ar-SA"/>
        </w:rPr>
        <w:t>5</w:t>
      </w:r>
      <w:r>
        <w:rPr>
          <w:rFonts w:hint="eastAsia" w:ascii="宋体" w:hAnsi="Times New Roman" w:eastAsia="宋体" w:cs="宋体"/>
          <w:kern w:val="2"/>
          <w:sz w:val="21"/>
          <w:szCs w:val="21"/>
          <w:highlight w:val="none"/>
          <w:lang w:val="en-US" w:eastAsia="zh-CN" w:bidi="ar-SA"/>
        </w:rPr>
        <w:t>.在中标区域单位内如有“四害”密度（达不到国家“四害”控制C级标准）超标，被南宁市创卫办督办的，中标人要及时（一般在当天）组织整改，如在同一区域单位被两次督办同一问题，将按中标价的1%进行处罚，依此类推。</w:t>
      </w:r>
    </w:p>
    <w:p w14:paraId="269AF38E">
      <w:pPr>
        <w:spacing w:line="560" w:lineRule="exact"/>
        <w:ind w:firstLine="420" w:firstLineChars="200"/>
        <w:rPr>
          <w:rFonts w:hint="eastAsia" w:ascii="宋体" w:hAnsi="Times New Roman" w:eastAsia="宋体" w:cs="宋体"/>
          <w:kern w:val="2"/>
          <w:sz w:val="21"/>
          <w:szCs w:val="21"/>
          <w:highlight w:val="none"/>
          <w:lang w:val="en-US" w:eastAsia="zh-CN" w:bidi="ar-SA"/>
        </w:rPr>
      </w:pPr>
      <w:r>
        <w:rPr>
          <w:rFonts w:hint="eastAsia" w:ascii="宋体" w:hAnsi="Times New Roman" w:cs="宋体"/>
          <w:kern w:val="2"/>
          <w:sz w:val="21"/>
          <w:szCs w:val="21"/>
          <w:highlight w:val="none"/>
          <w:lang w:val="en-US" w:eastAsia="zh-CN" w:bidi="ar-SA"/>
        </w:rPr>
        <w:t>6</w:t>
      </w:r>
      <w:r>
        <w:rPr>
          <w:rFonts w:hint="eastAsia" w:ascii="宋体" w:hAnsi="Times New Roman" w:eastAsia="宋体" w:cs="宋体"/>
          <w:kern w:val="2"/>
          <w:sz w:val="21"/>
          <w:szCs w:val="21"/>
          <w:highlight w:val="none"/>
          <w:lang w:val="en-US" w:eastAsia="zh-CN" w:bidi="ar-SA"/>
        </w:rPr>
        <w:t>.用药要求：所选用的药品要按照用药及主要技术参数明细表的技术参数来选用，即有效成分、含量和剂型符合要求。</w:t>
      </w:r>
    </w:p>
    <w:p w14:paraId="114D5B65"/>
    <w:p w14:paraId="643195A7">
      <w:pPr>
        <w:pStyle w:val="2"/>
      </w:pPr>
    </w:p>
    <w:p w14:paraId="44C8F303">
      <w:pPr>
        <w:tabs>
          <w:tab w:val="left" w:pos="420"/>
          <w:tab w:val="left" w:pos="540"/>
          <w:tab w:val="left" w:pos="574"/>
        </w:tabs>
        <w:spacing w:line="360" w:lineRule="auto"/>
        <w:ind w:firstLine="211" w:firstLineChars="100"/>
        <w:outlineLvl w:val="0"/>
        <w:rPr>
          <w:rFonts w:ascii="宋体" w:hAnsi="宋体" w:cs="宋体"/>
          <w:b/>
          <w:bCs/>
        </w:rPr>
      </w:pPr>
      <w:bookmarkStart w:id="8" w:name="_Hlk70344164"/>
      <w:r>
        <w:rPr>
          <w:rFonts w:ascii="宋体" w:hAnsi="宋体" w:cs="宋体"/>
          <w:b/>
          <w:bCs/>
        </w:rPr>
        <w:t>四、</w:t>
      </w:r>
      <w:r>
        <w:rPr>
          <w:rFonts w:hint="eastAsia" w:ascii="宋体" w:hAnsi="宋体" w:cs="宋体"/>
          <w:b/>
          <w:bCs/>
        </w:rPr>
        <w:t>采购清单</w:t>
      </w:r>
    </w:p>
    <w:p w14:paraId="338677B0">
      <w:pPr>
        <w:pStyle w:val="36"/>
        <w:ind w:firstLine="210"/>
      </w:pPr>
    </w:p>
    <w:bookmarkEnd w:id="8"/>
    <w:tbl>
      <w:tblPr>
        <w:tblStyle w:val="37"/>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04"/>
        <w:gridCol w:w="1275"/>
        <w:gridCol w:w="5529"/>
        <w:gridCol w:w="708"/>
        <w:gridCol w:w="709"/>
        <w:gridCol w:w="992"/>
      </w:tblGrid>
      <w:tr w14:paraId="083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1" w:type="dxa"/>
            <w:shd w:val="clear" w:color="auto" w:fill="auto"/>
            <w:vAlign w:val="center"/>
          </w:tcPr>
          <w:p w14:paraId="7877E5F5">
            <w:pPr>
              <w:widowControl/>
              <w:jc w:val="center"/>
              <w:rPr>
                <w:rFonts w:ascii="宋体" w:hAnsi="宋体" w:cs="宋体"/>
                <w:b/>
                <w:kern w:val="0"/>
              </w:rPr>
            </w:pPr>
            <w:bookmarkStart w:id="9" w:name="_Hlk70344151"/>
            <w:r>
              <w:rPr>
                <w:rFonts w:hint="eastAsia" w:ascii="宋体" w:hAnsi="宋体" w:cs="宋体"/>
                <w:b/>
                <w:kern w:val="0"/>
              </w:rPr>
              <w:t>项号</w:t>
            </w:r>
          </w:p>
        </w:tc>
        <w:tc>
          <w:tcPr>
            <w:tcW w:w="1104" w:type="dxa"/>
            <w:shd w:val="clear" w:color="auto" w:fill="auto"/>
            <w:vAlign w:val="center"/>
          </w:tcPr>
          <w:p w14:paraId="5B2686DE">
            <w:pPr>
              <w:widowControl/>
              <w:jc w:val="center"/>
              <w:rPr>
                <w:rFonts w:ascii="宋体" w:hAnsi="宋体" w:cs="宋体"/>
                <w:b/>
                <w:kern w:val="0"/>
              </w:rPr>
            </w:pPr>
            <w:r>
              <w:rPr>
                <w:rFonts w:hint="eastAsia" w:ascii="宋体" w:hAnsi="宋体" w:cs="宋体"/>
                <w:b/>
                <w:kern w:val="0"/>
              </w:rPr>
              <w:t>货物名称</w:t>
            </w:r>
          </w:p>
        </w:tc>
        <w:tc>
          <w:tcPr>
            <w:tcW w:w="1275" w:type="dxa"/>
            <w:shd w:val="clear" w:color="auto" w:fill="auto"/>
            <w:vAlign w:val="center"/>
          </w:tcPr>
          <w:p w14:paraId="03979DD3">
            <w:pPr>
              <w:widowControl/>
              <w:jc w:val="center"/>
              <w:rPr>
                <w:rFonts w:ascii="宋体" w:hAnsi="宋体" w:cs="宋体"/>
                <w:b/>
                <w:kern w:val="0"/>
              </w:rPr>
            </w:pPr>
            <w:r>
              <w:rPr>
                <w:rFonts w:hint="eastAsia" w:ascii="宋体" w:hAnsi="宋体" w:cs="宋体"/>
                <w:b/>
                <w:kern w:val="0"/>
              </w:rPr>
              <w:t>参考品牌</w:t>
            </w:r>
          </w:p>
        </w:tc>
        <w:tc>
          <w:tcPr>
            <w:tcW w:w="5529" w:type="dxa"/>
            <w:shd w:val="clear" w:color="auto" w:fill="auto"/>
            <w:vAlign w:val="center"/>
          </w:tcPr>
          <w:p w14:paraId="0281FE3D">
            <w:pPr>
              <w:widowControl/>
              <w:jc w:val="center"/>
              <w:rPr>
                <w:rFonts w:ascii="宋体" w:hAnsi="宋体" w:cs="宋体"/>
                <w:b/>
                <w:kern w:val="0"/>
              </w:rPr>
            </w:pPr>
            <w:r>
              <w:rPr>
                <w:rFonts w:hint="eastAsia" w:ascii="宋体" w:hAnsi="宋体" w:cs="宋体"/>
                <w:b/>
                <w:kern w:val="0"/>
              </w:rPr>
              <w:t>规格/型号或主要技术要求</w:t>
            </w:r>
          </w:p>
        </w:tc>
        <w:tc>
          <w:tcPr>
            <w:tcW w:w="708" w:type="dxa"/>
            <w:shd w:val="clear" w:color="auto" w:fill="auto"/>
            <w:vAlign w:val="center"/>
          </w:tcPr>
          <w:p w14:paraId="0BB34C37">
            <w:pPr>
              <w:widowControl/>
              <w:jc w:val="center"/>
              <w:rPr>
                <w:rFonts w:ascii="宋体" w:hAnsi="宋体" w:cs="宋体"/>
                <w:b/>
                <w:kern w:val="0"/>
              </w:rPr>
            </w:pPr>
            <w:r>
              <w:rPr>
                <w:rFonts w:hint="eastAsia" w:ascii="宋体" w:hAnsi="宋体" w:cs="宋体"/>
                <w:b/>
                <w:kern w:val="0"/>
              </w:rPr>
              <w:t>单位</w:t>
            </w:r>
          </w:p>
        </w:tc>
        <w:tc>
          <w:tcPr>
            <w:tcW w:w="709" w:type="dxa"/>
            <w:shd w:val="clear" w:color="auto" w:fill="auto"/>
            <w:vAlign w:val="center"/>
          </w:tcPr>
          <w:p w14:paraId="4ED7F084">
            <w:pPr>
              <w:widowControl/>
              <w:jc w:val="center"/>
              <w:rPr>
                <w:rFonts w:ascii="宋体" w:hAnsi="宋体" w:cs="宋体"/>
                <w:b/>
                <w:kern w:val="0"/>
              </w:rPr>
            </w:pPr>
            <w:r>
              <w:rPr>
                <w:rFonts w:hint="eastAsia" w:ascii="宋体" w:hAnsi="宋体" w:cs="宋体"/>
                <w:b/>
                <w:kern w:val="0"/>
              </w:rPr>
              <w:t>数量</w:t>
            </w:r>
          </w:p>
        </w:tc>
        <w:tc>
          <w:tcPr>
            <w:tcW w:w="992" w:type="dxa"/>
            <w:shd w:val="clear" w:color="auto" w:fill="auto"/>
            <w:vAlign w:val="center"/>
          </w:tcPr>
          <w:p w14:paraId="1D457B98">
            <w:pPr>
              <w:widowControl/>
              <w:jc w:val="center"/>
              <w:rPr>
                <w:rFonts w:ascii="宋体" w:hAnsi="宋体" w:cs="宋体"/>
                <w:b/>
                <w:kern w:val="0"/>
              </w:rPr>
            </w:pPr>
            <w:r>
              <w:rPr>
                <w:rFonts w:hint="eastAsia" w:ascii="宋体" w:hAnsi="宋体" w:cs="宋体"/>
                <w:b/>
                <w:kern w:val="0"/>
              </w:rPr>
              <w:t>分项预算合价（元）</w:t>
            </w:r>
          </w:p>
        </w:tc>
      </w:tr>
      <w:tr w14:paraId="599A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1" w:type="dxa"/>
            <w:shd w:val="clear" w:color="auto" w:fill="auto"/>
            <w:vAlign w:val="center"/>
          </w:tcPr>
          <w:p w14:paraId="6DB01523">
            <w:pPr>
              <w:spacing w:line="340" w:lineRule="exact"/>
              <w:jc w:val="left"/>
              <w:rPr>
                <w:rFonts w:hint="eastAsia" w:ascii="宋体" w:hAnsi="Times New Roman" w:cs="宋体"/>
                <w:bCs/>
                <w:szCs w:val="20"/>
              </w:rPr>
            </w:pPr>
            <w:r>
              <w:rPr>
                <w:rFonts w:hint="eastAsia" w:ascii="宋体" w:hAnsi="Times New Roman" w:cs="宋体"/>
                <w:bCs/>
                <w:szCs w:val="20"/>
              </w:rPr>
              <w:t>1</w:t>
            </w:r>
          </w:p>
        </w:tc>
        <w:tc>
          <w:tcPr>
            <w:tcW w:w="1104" w:type="dxa"/>
            <w:tcBorders>
              <w:top w:val="single" w:color="auto" w:sz="8" w:space="0"/>
              <w:left w:val="single" w:color="auto" w:sz="8" w:space="0"/>
              <w:bottom w:val="single" w:color="auto" w:sz="8" w:space="0"/>
              <w:right w:val="single" w:color="auto" w:sz="8" w:space="0"/>
            </w:tcBorders>
            <w:vAlign w:val="center"/>
          </w:tcPr>
          <w:p w14:paraId="63FCCA8C">
            <w:pPr>
              <w:spacing w:line="340" w:lineRule="exact"/>
              <w:jc w:val="left"/>
              <w:rPr>
                <w:rFonts w:hint="eastAsia" w:ascii="宋体" w:hAnsi="Times New Roman" w:cs="宋体"/>
                <w:bCs/>
                <w:szCs w:val="20"/>
              </w:rPr>
            </w:pPr>
            <w:r>
              <w:rPr>
                <w:rFonts w:hint="eastAsia" w:ascii="宋体" w:hAnsi="Times New Roman" w:cs="宋体"/>
                <w:bCs/>
                <w:szCs w:val="20"/>
              </w:rPr>
              <w:t>广西南宁技师学院</w:t>
            </w:r>
            <w:r>
              <w:rPr>
                <w:rFonts w:hint="eastAsia" w:ascii="宋体" w:hAnsi="Times New Roman" w:cs="宋体"/>
                <w:bCs/>
                <w:color w:val="auto"/>
                <w:szCs w:val="20"/>
                <w:lang w:val="en-US" w:eastAsia="zh-CN"/>
              </w:rPr>
              <w:t>2025年</w:t>
            </w:r>
            <w:r>
              <w:rPr>
                <w:rFonts w:hint="eastAsia" w:ascii="宋体" w:hAnsi="Times New Roman" w:cs="宋体"/>
                <w:bCs/>
                <w:szCs w:val="20"/>
              </w:rPr>
              <w:t>“四害”及红火蚁、隐翅虫、臭虫防治服务</w:t>
            </w:r>
          </w:p>
        </w:tc>
        <w:tc>
          <w:tcPr>
            <w:tcW w:w="1275" w:type="dxa"/>
            <w:tcBorders>
              <w:top w:val="single" w:color="auto" w:sz="8" w:space="0"/>
              <w:left w:val="single" w:color="auto" w:sz="8" w:space="0"/>
              <w:bottom w:val="single" w:color="auto" w:sz="8" w:space="0"/>
              <w:right w:val="single" w:color="auto" w:sz="8" w:space="0"/>
            </w:tcBorders>
            <w:vAlign w:val="center"/>
          </w:tcPr>
          <w:p w14:paraId="1A8C46A6">
            <w:pPr>
              <w:widowControl/>
              <w:rPr>
                <w:rFonts w:ascii="宋体" w:hAnsi="宋体" w:cs="宋体"/>
                <w:kern w:val="0"/>
              </w:rPr>
            </w:pPr>
          </w:p>
        </w:tc>
        <w:tc>
          <w:tcPr>
            <w:tcW w:w="5529" w:type="dxa"/>
            <w:tcBorders>
              <w:top w:val="single" w:color="auto" w:sz="8" w:space="0"/>
              <w:left w:val="single" w:color="auto" w:sz="8" w:space="0"/>
              <w:bottom w:val="single" w:color="auto" w:sz="8" w:space="0"/>
              <w:right w:val="single" w:color="auto" w:sz="8" w:space="0"/>
            </w:tcBorders>
            <w:vAlign w:val="center"/>
          </w:tcPr>
          <w:p w14:paraId="69045915">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val="en-US" w:eastAsia="zh-CN"/>
              </w:rPr>
              <w:t>一、</w:t>
            </w:r>
            <w:r>
              <w:rPr>
                <w:rFonts w:hint="eastAsia" w:ascii="宋体" w:cs="宋体"/>
                <w:b/>
                <w:bCs w:val="0"/>
                <w:color w:val="auto"/>
                <w:kern w:val="0"/>
                <w:highlight w:val="none"/>
              </w:rPr>
              <w:t>“四害”防治服务</w:t>
            </w:r>
          </w:p>
          <w:p w14:paraId="38802437">
            <w:pPr>
              <w:spacing w:line="340" w:lineRule="exact"/>
              <w:jc w:val="left"/>
              <w:rPr>
                <w:rFonts w:hint="eastAsia" w:ascii="宋体" w:hAnsi="Times New Roman" w:cs="宋体"/>
                <w:bCs/>
                <w:color w:val="auto"/>
                <w:szCs w:val="20"/>
                <w:highlight w:val="none"/>
              </w:rPr>
            </w:pP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一</w:t>
            </w: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rPr>
              <w:t>防治地点（范围）：</w:t>
            </w:r>
            <w:r>
              <w:rPr>
                <w:rFonts w:hint="eastAsia" w:ascii="宋体" w:hAnsi="Times New Roman" w:cs="宋体"/>
                <w:bCs/>
                <w:color w:val="auto"/>
                <w:szCs w:val="20"/>
                <w:highlight w:val="none"/>
              </w:rPr>
              <w:t>广西南宁技师学院所辖校园区域。</w:t>
            </w:r>
          </w:p>
          <w:p w14:paraId="12CB1DA5">
            <w:pPr>
              <w:spacing w:line="340" w:lineRule="exact"/>
              <w:jc w:val="left"/>
              <w:rPr>
                <w:rFonts w:hint="eastAsia" w:ascii="宋体" w:hAnsi="Times New Roman" w:cs="宋体"/>
                <w:bCs/>
                <w:color w:val="auto"/>
                <w:szCs w:val="20"/>
                <w:highlight w:val="none"/>
              </w:rPr>
            </w:pPr>
            <w:r>
              <w:rPr>
                <w:rFonts w:hint="eastAsia" w:ascii="宋体" w:hAnsi="Times New Roman" w:cs="宋体"/>
                <w:b/>
                <w:bCs w:val="0"/>
                <w:color w:val="auto"/>
                <w:szCs w:val="20"/>
                <w:highlight w:val="none"/>
                <w:lang w:eastAsia="zh-CN"/>
              </w:rPr>
              <w:t>（二）</w:t>
            </w:r>
            <w:r>
              <w:rPr>
                <w:rFonts w:hint="eastAsia" w:ascii="宋体" w:hAnsi="Times New Roman" w:cs="宋体"/>
                <w:b/>
                <w:bCs w:val="0"/>
                <w:color w:val="auto"/>
                <w:szCs w:val="20"/>
                <w:highlight w:val="none"/>
              </w:rPr>
              <w:t>防治项目：</w:t>
            </w:r>
            <w:r>
              <w:rPr>
                <w:rFonts w:hint="eastAsia" w:ascii="宋体" w:hAnsi="Times New Roman" w:cs="宋体"/>
                <w:bCs/>
                <w:color w:val="auto"/>
                <w:szCs w:val="20"/>
                <w:highlight w:val="none"/>
              </w:rPr>
              <w:t>灭鼠、蚊、蝇、蟑螂。</w:t>
            </w:r>
          </w:p>
          <w:p w14:paraId="5347F937">
            <w:pPr>
              <w:spacing w:line="340" w:lineRule="exact"/>
              <w:jc w:val="left"/>
              <w:rPr>
                <w:rFonts w:hint="eastAsia" w:ascii="宋体" w:hAnsi="Times New Roman" w:cs="宋体"/>
                <w:bCs/>
                <w:color w:val="auto"/>
                <w:szCs w:val="20"/>
                <w:highlight w:val="none"/>
              </w:rPr>
            </w:pP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三</w:t>
            </w: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rPr>
              <w:t>防治时间：</w:t>
            </w:r>
            <w:r>
              <w:rPr>
                <w:rFonts w:hint="eastAsia" w:ascii="宋体" w:hAnsi="Times New Roman" w:cs="宋体"/>
                <w:bCs/>
                <w:color w:val="auto"/>
                <w:szCs w:val="20"/>
                <w:highlight w:val="none"/>
              </w:rPr>
              <w:t xml:space="preserve"> 202</w:t>
            </w:r>
            <w:r>
              <w:rPr>
                <w:rFonts w:hint="eastAsia" w:ascii="宋体" w:hAnsi="Times New Roman" w:cs="宋体"/>
                <w:bCs/>
                <w:color w:val="auto"/>
                <w:szCs w:val="20"/>
                <w:highlight w:val="none"/>
                <w:lang w:val="en-US" w:eastAsia="zh-CN"/>
              </w:rPr>
              <w:t>5</w:t>
            </w:r>
            <w:r>
              <w:rPr>
                <w:rFonts w:hint="eastAsia" w:ascii="宋体" w:hAnsi="Times New Roman" w:cs="宋体"/>
                <w:bCs/>
                <w:color w:val="auto"/>
                <w:szCs w:val="20"/>
                <w:highlight w:val="none"/>
              </w:rPr>
              <w:t>年 1</w:t>
            </w:r>
            <w:r>
              <w:rPr>
                <w:rFonts w:hint="eastAsia" w:ascii="宋体" w:hAnsi="Times New Roman" w:cs="宋体"/>
                <w:bCs/>
                <w:color w:val="auto"/>
                <w:szCs w:val="20"/>
                <w:highlight w:val="none"/>
                <w:lang w:val="en-US" w:eastAsia="zh-CN"/>
              </w:rPr>
              <w:t xml:space="preserve"> </w:t>
            </w:r>
            <w:r>
              <w:rPr>
                <w:rFonts w:hint="eastAsia" w:ascii="宋体" w:hAnsi="Times New Roman" w:cs="宋体"/>
                <w:bCs/>
                <w:color w:val="auto"/>
                <w:szCs w:val="20"/>
                <w:highlight w:val="none"/>
              </w:rPr>
              <w:t xml:space="preserve">月 </w:t>
            </w:r>
            <w:r>
              <w:rPr>
                <w:rFonts w:hint="eastAsia" w:ascii="宋体" w:hAnsi="Times New Roman" w:cs="宋体"/>
                <w:bCs/>
                <w:color w:val="auto"/>
                <w:szCs w:val="20"/>
                <w:highlight w:val="none"/>
                <w:lang w:val="en-US" w:eastAsia="zh-CN"/>
              </w:rPr>
              <w:t>11</w:t>
            </w:r>
            <w:r>
              <w:rPr>
                <w:rFonts w:hint="eastAsia" w:ascii="宋体" w:hAnsi="Times New Roman" w:cs="宋体"/>
                <w:bCs/>
                <w:color w:val="auto"/>
                <w:szCs w:val="20"/>
                <w:highlight w:val="none"/>
              </w:rPr>
              <w:t xml:space="preserve"> 日至202</w:t>
            </w:r>
            <w:r>
              <w:rPr>
                <w:rFonts w:hint="eastAsia" w:ascii="宋体" w:hAnsi="Times New Roman" w:cs="宋体"/>
                <w:bCs/>
                <w:color w:val="auto"/>
                <w:szCs w:val="20"/>
                <w:highlight w:val="none"/>
                <w:lang w:val="en-US" w:eastAsia="zh-CN"/>
              </w:rPr>
              <w:t>6</w:t>
            </w:r>
            <w:r>
              <w:rPr>
                <w:rFonts w:hint="eastAsia" w:ascii="宋体" w:hAnsi="Times New Roman" w:cs="宋体"/>
                <w:bCs/>
                <w:color w:val="auto"/>
                <w:szCs w:val="20"/>
                <w:highlight w:val="none"/>
              </w:rPr>
              <w:t xml:space="preserve">年 1 月 </w:t>
            </w:r>
            <w:r>
              <w:rPr>
                <w:rFonts w:hint="eastAsia" w:ascii="宋体" w:hAnsi="Times New Roman" w:cs="宋体"/>
                <w:bCs/>
                <w:color w:val="auto"/>
                <w:szCs w:val="20"/>
                <w:highlight w:val="none"/>
                <w:lang w:val="en-US" w:eastAsia="zh-CN"/>
              </w:rPr>
              <w:t>10</w:t>
            </w:r>
            <w:r>
              <w:rPr>
                <w:rFonts w:hint="eastAsia" w:ascii="宋体" w:hAnsi="Times New Roman" w:cs="宋体"/>
                <w:bCs/>
                <w:color w:val="auto"/>
                <w:szCs w:val="20"/>
                <w:highlight w:val="none"/>
              </w:rPr>
              <w:t xml:space="preserve"> 日（起始时间以签订除“四害”服务合同之日算起）。</w:t>
            </w:r>
          </w:p>
          <w:p w14:paraId="4470524B">
            <w:pPr>
              <w:spacing w:line="340" w:lineRule="exact"/>
              <w:jc w:val="left"/>
              <w:rPr>
                <w:rFonts w:hint="eastAsia" w:ascii="宋体" w:hAnsi="Times New Roman" w:cs="宋体"/>
                <w:b/>
                <w:bCs w:val="0"/>
                <w:color w:val="auto"/>
                <w:szCs w:val="20"/>
                <w:highlight w:val="none"/>
              </w:rPr>
            </w:pPr>
            <w:r>
              <w:rPr>
                <w:rFonts w:hint="eastAsia" w:ascii="宋体" w:hAnsi="Times New Roman" w:cs="宋体"/>
                <w:b/>
                <w:color w:val="auto"/>
                <w:highlight w:val="none"/>
              </w:rPr>
              <w:t>▲</w:t>
            </w: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四</w:t>
            </w: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rPr>
              <w:t>防治频次：</w:t>
            </w:r>
          </w:p>
          <w:p w14:paraId="4740FB01">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val="en-US" w:eastAsia="zh-CN"/>
              </w:rPr>
              <w:t>1</w:t>
            </w:r>
            <w:r>
              <w:rPr>
                <w:rFonts w:hint="eastAsia" w:ascii="宋体" w:hAnsi="Times New Roman" w:cs="宋体"/>
                <w:bCs/>
                <w:color w:val="auto"/>
                <w:szCs w:val="20"/>
                <w:highlight w:val="none"/>
              </w:rPr>
              <w:t>灭鼠：</w:t>
            </w:r>
            <w:r>
              <w:rPr>
                <w:rFonts w:hint="eastAsia" w:ascii="宋体" w:hAnsi="Times New Roman" w:cs="宋体"/>
                <w:bCs/>
                <w:color w:val="auto"/>
                <w:szCs w:val="20"/>
                <w:highlight w:val="none"/>
                <w:lang w:val="en-US" w:eastAsia="zh-CN"/>
              </w:rPr>
              <w:t>新校区、二轻校区每月根据老鼠活动情况及时投药消杀；一轻校区、财经校区、南技校区每两个月根据老鼠活动情况及时投药消杀。</w:t>
            </w:r>
          </w:p>
          <w:p w14:paraId="197D910D">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val="en-US" w:eastAsia="zh-CN"/>
              </w:rPr>
              <w:t>2.</w:t>
            </w:r>
            <w:r>
              <w:rPr>
                <w:rFonts w:hint="eastAsia" w:ascii="宋体" w:hAnsi="Times New Roman" w:cs="宋体"/>
                <w:bCs/>
                <w:color w:val="auto"/>
                <w:szCs w:val="20"/>
                <w:highlight w:val="none"/>
              </w:rPr>
              <w:t>新校区、</w:t>
            </w:r>
            <w:r>
              <w:rPr>
                <w:rFonts w:hint="eastAsia" w:ascii="宋体" w:hAnsi="Times New Roman" w:cs="宋体"/>
                <w:bCs/>
                <w:color w:val="auto"/>
                <w:szCs w:val="20"/>
                <w:highlight w:val="none"/>
                <w:lang w:val="en-US" w:eastAsia="zh-CN"/>
              </w:rPr>
              <w:t>二轻校区</w:t>
            </w:r>
            <w:r>
              <w:rPr>
                <w:rFonts w:hint="eastAsia" w:ascii="宋体" w:hAnsi="Times New Roman" w:cs="宋体"/>
                <w:bCs/>
                <w:color w:val="auto"/>
                <w:szCs w:val="20"/>
                <w:highlight w:val="none"/>
              </w:rPr>
              <w:t>灭蟑螂、蝇、蚊，每月进行一次喷药消杀，发现虫情可随叫随到；</w:t>
            </w:r>
            <w:r>
              <w:rPr>
                <w:rFonts w:hint="eastAsia" w:ascii="宋体" w:hAnsi="Times New Roman" w:cs="宋体"/>
                <w:bCs/>
                <w:color w:val="auto"/>
                <w:szCs w:val="20"/>
                <w:highlight w:val="none"/>
                <w:lang w:val="en-US" w:eastAsia="zh-CN"/>
              </w:rPr>
              <w:t>一轻校区、</w:t>
            </w:r>
            <w:r>
              <w:rPr>
                <w:rFonts w:hint="eastAsia" w:ascii="宋体" w:hAnsi="Times New Roman" w:cs="宋体"/>
                <w:bCs/>
                <w:color w:val="auto"/>
                <w:szCs w:val="20"/>
                <w:highlight w:val="none"/>
              </w:rPr>
              <w:t>财经校区</w:t>
            </w:r>
            <w:r>
              <w:rPr>
                <w:rFonts w:hint="eastAsia" w:ascii="宋体" w:hAnsi="Times New Roman" w:cs="宋体"/>
                <w:bCs/>
                <w:color w:val="auto"/>
                <w:szCs w:val="20"/>
                <w:highlight w:val="none"/>
                <w:lang w:val="en-US" w:eastAsia="zh-CN"/>
              </w:rPr>
              <w:t>、南技</w:t>
            </w:r>
            <w:r>
              <w:rPr>
                <w:rFonts w:hint="eastAsia" w:ascii="宋体" w:hAnsi="Times New Roman" w:cs="宋体"/>
                <w:bCs/>
                <w:color w:val="auto"/>
                <w:szCs w:val="20"/>
                <w:highlight w:val="none"/>
              </w:rPr>
              <w:t>校区灭蟑螂、蝇、蚊，每两个月进行一次喷药消杀，发现虫情可随叫随到。</w:t>
            </w:r>
          </w:p>
          <w:p w14:paraId="3C079AD9">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五</w:t>
            </w: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rPr>
              <w:t>灭鼠措施</w:t>
            </w:r>
          </w:p>
          <w:p w14:paraId="6E12175C">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val="en-US" w:eastAsia="zh-CN"/>
              </w:rPr>
              <w:t>1.</w:t>
            </w:r>
            <w:r>
              <w:rPr>
                <w:rFonts w:hint="eastAsia" w:ascii="宋体" w:hAnsi="Times New Roman" w:cs="宋体"/>
                <w:b/>
                <w:bCs w:val="0"/>
                <w:color w:val="auto"/>
                <w:szCs w:val="20"/>
                <w:highlight w:val="none"/>
              </w:rPr>
              <w:t>环境防</w:t>
            </w:r>
            <w:r>
              <w:rPr>
                <w:rFonts w:hint="eastAsia" w:ascii="宋体" w:hAnsi="Times New Roman" w:cs="宋体"/>
                <w:b/>
                <w:bCs w:val="0"/>
                <w:color w:val="auto"/>
                <w:szCs w:val="20"/>
                <w:highlight w:val="none"/>
                <w:lang w:val="en-US" w:eastAsia="zh-CN"/>
              </w:rPr>
              <w:t>治</w:t>
            </w:r>
          </w:p>
          <w:p w14:paraId="5356C582">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1）</w:t>
            </w:r>
            <w:r>
              <w:rPr>
                <w:rFonts w:hint="eastAsia" w:ascii="宋体" w:hAnsi="Times New Roman" w:cs="宋体"/>
                <w:bCs/>
                <w:color w:val="auto"/>
                <w:szCs w:val="20"/>
                <w:highlight w:val="none"/>
              </w:rPr>
              <w:t>对于门窗、下水道口等鼠类活动的主要场所要加强完善防鼠设施，把通往建筑物内的洞口堵死，防止鼠类自由出入。</w:t>
            </w:r>
          </w:p>
          <w:p w14:paraId="0B5ABC64">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2）</w:t>
            </w:r>
            <w:r>
              <w:rPr>
                <w:rFonts w:hint="eastAsia" w:ascii="宋体" w:hAnsi="Times New Roman" w:cs="宋体"/>
                <w:bCs/>
                <w:color w:val="auto"/>
                <w:szCs w:val="20"/>
                <w:highlight w:val="none"/>
              </w:rPr>
              <w:t>堵塞鼠洞，尽可能破坏老鼠在室内外的栖息环境，有效控制繁殖量和降低鼠密度。</w:t>
            </w:r>
          </w:p>
          <w:p w14:paraId="76E0362B">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val="en-US" w:eastAsia="zh-CN"/>
              </w:rPr>
              <w:t>2.</w:t>
            </w:r>
            <w:r>
              <w:rPr>
                <w:rFonts w:hint="eastAsia" w:ascii="宋体" w:hAnsi="Times New Roman" w:cs="宋体"/>
                <w:b/>
                <w:bCs w:val="0"/>
                <w:color w:val="auto"/>
                <w:szCs w:val="20"/>
                <w:highlight w:val="none"/>
              </w:rPr>
              <w:t>药物防</w:t>
            </w:r>
            <w:r>
              <w:rPr>
                <w:rFonts w:hint="eastAsia" w:ascii="宋体" w:hAnsi="Times New Roman" w:cs="宋体"/>
                <w:b/>
                <w:bCs w:val="0"/>
                <w:color w:val="auto"/>
                <w:szCs w:val="20"/>
                <w:highlight w:val="none"/>
                <w:lang w:val="en-US" w:eastAsia="zh-CN"/>
              </w:rPr>
              <w:t>治</w:t>
            </w:r>
          </w:p>
          <w:p w14:paraId="0CF2248F">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1）</w:t>
            </w:r>
            <w:r>
              <w:rPr>
                <w:rFonts w:hint="eastAsia" w:ascii="宋体" w:hAnsi="Times New Roman" w:cs="宋体"/>
                <w:b/>
                <w:bCs w:val="0"/>
                <w:color w:val="auto"/>
                <w:szCs w:val="20"/>
                <w:highlight w:val="none"/>
              </w:rPr>
              <w:t>准备工作</w:t>
            </w:r>
          </w:p>
          <w:p w14:paraId="38D1E423">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rPr>
              <w:t>①灭前鼠密度调查：通过粉迹法或饵料消耗法查清鼠密度及老鼠活动的主要场所、鼠道走向，为提高投药的准确性及确定防治重点作好准备。</w:t>
            </w:r>
          </w:p>
          <w:p w14:paraId="11B6B878">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rPr>
              <w:t>②选配饵料：通过饵料消耗法调查了解鼠类对备选饵料的适口性，确定应用的饵料，并选用国家允许使用的慢性抗凝血灭鼠剂配制成适口性好毒饵，以便大限度提高鼠类取食率。</w:t>
            </w:r>
          </w:p>
          <w:p w14:paraId="59B1E114">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2）</w:t>
            </w:r>
            <w:r>
              <w:rPr>
                <w:rFonts w:hint="eastAsia" w:ascii="宋体" w:hAnsi="Times New Roman" w:cs="宋体"/>
                <w:b/>
                <w:bCs w:val="0"/>
                <w:color w:val="auto"/>
                <w:szCs w:val="20"/>
                <w:highlight w:val="none"/>
              </w:rPr>
              <w:t>投药灭鼠操作步骤</w:t>
            </w:r>
          </w:p>
          <w:p w14:paraId="525D6362">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rPr>
              <w:t>鼠类在不同季节、气候对各种饵料的适口性不一样，根据这一特性，选用不同的药物、饵料，按照不同的浓度配制成各种毒饵（谷物、蜡块、粉粒、毒水），例如：早春季节，天气较潮湿，就要选择耐水性好，不易发霉的饵料，到深秋季节，气候干燥，则选用含水分较多的饵料，以增强鼠类的适口性。下水道则选择耐水冲刷，耐腐蚀的蜡块等；以达到灭鼠最佳效果。</w:t>
            </w:r>
          </w:p>
          <w:p w14:paraId="15ECA104">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①</w:t>
            </w:r>
            <w:r>
              <w:rPr>
                <w:rFonts w:hint="eastAsia" w:ascii="宋体" w:hAnsi="Times New Roman" w:cs="宋体"/>
                <w:bCs/>
                <w:color w:val="auto"/>
                <w:szCs w:val="20"/>
                <w:highlight w:val="none"/>
              </w:rPr>
              <w:t>沿围墙、建筑物周围或有明显鼠道的场所，在不影响环境美观的情况下，采取隐蔽性投药法，灭鼠盒投药灭鼠。</w:t>
            </w:r>
          </w:p>
          <w:p w14:paraId="0F892B7A">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②</w:t>
            </w:r>
            <w:r>
              <w:rPr>
                <w:rFonts w:hint="eastAsia" w:ascii="宋体" w:hAnsi="Times New Roman" w:cs="宋体"/>
                <w:bCs/>
                <w:color w:val="auto"/>
                <w:szCs w:val="20"/>
                <w:highlight w:val="none"/>
              </w:rPr>
              <w:t>如有外环境，则处理外环境鼠洞，选用环保型挥发性灭鼠剂进行洞口堵塞，让老鼠直接死于洞内。</w:t>
            </w:r>
          </w:p>
          <w:p w14:paraId="14897F7C">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③</w:t>
            </w:r>
            <w:r>
              <w:rPr>
                <w:rFonts w:hint="eastAsia" w:ascii="宋体" w:hAnsi="Times New Roman" w:cs="宋体"/>
                <w:bCs/>
                <w:color w:val="auto"/>
                <w:szCs w:val="20"/>
                <w:highlight w:val="none"/>
              </w:rPr>
              <w:t>根据各个灭鼠场所的具体情况，对各场所选用不同的灭鼠毒饵及投药方式，在不影响环境整洁、美观的情况下，进行隐蔽性投药；任何条件下都应在保证安全卫生的前提下投放鼠药，确保卫生安全，又能达到灭鼠的效果。</w:t>
            </w:r>
          </w:p>
          <w:p w14:paraId="17479A7D">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④</w:t>
            </w:r>
            <w:r>
              <w:rPr>
                <w:rFonts w:hint="eastAsia" w:ascii="宋体" w:hAnsi="Times New Roman" w:cs="宋体"/>
                <w:bCs/>
                <w:color w:val="auto"/>
                <w:szCs w:val="20"/>
                <w:highlight w:val="none"/>
              </w:rPr>
              <w:t>在不适宜用药物防</w:t>
            </w:r>
            <w:r>
              <w:rPr>
                <w:rFonts w:hint="eastAsia" w:ascii="宋体" w:hAnsi="Times New Roman" w:cs="宋体"/>
                <w:bCs/>
                <w:color w:val="auto"/>
                <w:szCs w:val="20"/>
                <w:highlight w:val="none"/>
                <w:lang w:val="en-US" w:eastAsia="zh-CN"/>
              </w:rPr>
              <w:t>治</w:t>
            </w:r>
            <w:r>
              <w:rPr>
                <w:rFonts w:hint="eastAsia" w:ascii="宋体" w:hAnsi="Times New Roman" w:cs="宋体"/>
                <w:bCs/>
                <w:color w:val="auto"/>
                <w:szCs w:val="20"/>
                <w:highlight w:val="none"/>
              </w:rPr>
              <w:t>的情况下，则采用物理法（鼠夹法、 鼠胶、鼠笼法）防</w:t>
            </w:r>
            <w:r>
              <w:rPr>
                <w:rFonts w:hint="eastAsia" w:ascii="宋体" w:hAnsi="Times New Roman" w:cs="宋体"/>
                <w:bCs/>
                <w:color w:val="auto"/>
                <w:szCs w:val="20"/>
                <w:highlight w:val="none"/>
                <w:lang w:val="en-US" w:eastAsia="zh-CN"/>
              </w:rPr>
              <w:t>治</w:t>
            </w:r>
            <w:r>
              <w:rPr>
                <w:rFonts w:hint="eastAsia" w:ascii="宋体" w:hAnsi="Times New Roman" w:cs="宋体"/>
                <w:bCs/>
                <w:color w:val="auto"/>
                <w:szCs w:val="20"/>
                <w:highlight w:val="none"/>
              </w:rPr>
              <w:t>，保证不构成污染及不造成人员误食中毒。</w:t>
            </w:r>
          </w:p>
          <w:p w14:paraId="1F6B2982">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⑤</w:t>
            </w:r>
            <w:r>
              <w:rPr>
                <w:rFonts w:hint="eastAsia" w:ascii="宋体" w:hAnsi="Times New Roman" w:cs="宋体"/>
                <w:bCs/>
                <w:color w:val="auto"/>
                <w:szCs w:val="20"/>
                <w:highlight w:val="none"/>
              </w:rPr>
              <w:t>每次投药灭鼠要进行3－4天的连续投药，每天早上观察毒饵消耗情况，下午或晚上进行补投，使投药达到空间饱和，时间饱和，药量饱和三个饱和的要求，确保灭鼠达到最佳效果。</w:t>
            </w:r>
          </w:p>
          <w:p w14:paraId="540883FA">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3</w:t>
            </w: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rPr>
              <w:t>清捡死鼠</w:t>
            </w:r>
          </w:p>
          <w:p w14:paraId="3DACA0AC">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rPr>
              <w:t>从投完药后的第二天起十天内应有专人负责配合清捡死鼠，且在灭鼠期内如发现有异常情况，尽快到现场进行处理。</w:t>
            </w:r>
          </w:p>
          <w:p w14:paraId="1956915F">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4</w:t>
            </w: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rPr>
              <w:t>灭后鼠密度调查</w:t>
            </w:r>
          </w:p>
          <w:p w14:paraId="199E4E8F">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rPr>
              <w:t>在灭鼠后第十五天左右进行一次鼠密度调查，确定灭鼠效果，如还发现有鼠情的场所则及时采措施进行补救，使灭鼠达到预订效果。</w:t>
            </w:r>
          </w:p>
          <w:p w14:paraId="49276584">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六</w:t>
            </w: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rPr>
              <w:t>灭蟑螂</w:t>
            </w:r>
          </w:p>
          <w:p w14:paraId="4C5EBF1A">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val="en-US" w:eastAsia="zh-CN"/>
              </w:rPr>
              <w:t>1.</w:t>
            </w:r>
            <w:r>
              <w:rPr>
                <w:rFonts w:hint="eastAsia" w:ascii="宋体" w:hAnsi="Times New Roman" w:cs="宋体"/>
                <w:b/>
                <w:bCs w:val="0"/>
                <w:color w:val="auto"/>
                <w:szCs w:val="20"/>
                <w:highlight w:val="none"/>
              </w:rPr>
              <w:t>准备工作</w:t>
            </w:r>
          </w:p>
          <w:p w14:paraId="607F344F">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1</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实地调查：到现场调查蟑螂的种类（美洲大蠊、澳洲大蠊或德国小蠊等）及其主要栖息、活动场所，以便确定防治重点。</w:t>
            </w:r>
          </w:p>
          <w:p w14:paraId="35A66C78">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2</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根据调查情况，选用高效低毒的灭蟑药剂。</w:t>
            </w:r>
          </w:p>
          <w:p w14:paraId="5E06AD49">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val="en-US" w:eastAsia="zh-CN"/>
              </w:rPr>
              <w:t>2.</w:t>
            </w:r>
            <w:r>
              <w:rPr>
                <w:rFonts w:hint="eastAsia" w:ascii="宋体" w:hAnsi="Times New Roman" w:cs="宋体"/>
                <w:b/>
                <w:bCs w:val="0"/>
                <w:color w:val="auto"/>
                <w:szCs w:val="20"/>
                <w:highlight w:val="none"/>
              </w:rPr>
              <w:t>具体措施</w:t>
            </w:r>
          </w:p>
          <w:p w14:paraId="107ECF7C">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val="en-US" w:eastAsia="zh-CN"/>
              </w:rPr>
              <w:t>（1）</w:t>
            </w:r>
            <w:r>
              <w:rPr>
                <w:rFonts w:hint="eastAsia" w:ascii="宋体" w:hAnsi="Times New Roman" w:cs="宋体"/>
                <w:bCs/>
                <w:color w:val="auto"/>
                <w:szCs w:val="20"/>
                <w:highlight w:val="none"/>
              </w:rPr>
              <w:t>如有下水道、粪池等密闭的场所，一般选用高效低毒的杀虫剂，用烟雾技术喷烟雾剂或常量法喷雾直接杀死蟑螂。</w:t>
            </w:r>
          </w:p>
          <w:p w14:paraId="3BBE9256">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2</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对公共场所，采用卫生安全的杀虫剂，在确保安全的情况下用滞溜喷洒或超低容量喷雾法灭蟑。所采用的药剂多为进口杀虫剂，气味小，施药后不留痕迹，不影响环境整洁。</w:t>
            </w:r>
          </w:p>
          <w:p w14:paraId="1C992AE3">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3</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在不宜直接喷洒的场所，采取药膏投饵，让蟑螂取食、中毒死亡。</w:t>
            </w:r>
          </w:p>
          <w:p w14:paraId="4F9941DA">
            <w:pPr>
              <w:spacing w:line="340" w:lineRule="exact"/>
              <w:jc w:val="left"/>
              <w:rPr>
                <w:rFonts w:hint="eastAsia" w:ascii="宋体" w:hAnsi="Times New Roman" w:cs="宋体"/>
                <w:bCs/>
                <w:color w:val="auto"/>
                <w:szCs w:val="20"/>
                <w:highlight w:val="none"/>
              </w:rPr>
            </w:pPr>
            <w:r>
              <w:rPr>
                <w:rFonts w:hint="eastAsia" w:ascii="宋体" w:hAnsi="Times New Roman" w:cs="宋体"/>
                <w:b/>
                <w:bCs w:val="0"/>
                <w:color w:val="auto"/>
                <w:szCs w:val="20"/>
                <w:highlight w:val="none"/>
                <w:lang w:val="en-US" w:eastAsia="zh-CN"/>
              </w:rPr>
              <w:t>3.</w:t>
            </w:r>
            <w:r>
              <w:rPr>
                <w:rFonts w:hint="eastAsia" w:ascii="宋体" w:hAnsi="Times New Roman" w:cs="宋体"/>
                <w:b/>
                <w:bCs w:val="0"/>
                <w:color w:val="auto"/>
                <w:szCs w:val="20"/>
                <w:highlight w:val="none"/>
              </w:rPr>
              <w:t>灭效评估：</w:t>
            </w:r>
            <w:r>
              <w:rPr>
                <w:rFonts w:hint="eastAsia" w:ascii="宋体" w:hAnsi="Times New Roman" w:cs="宋体"/>
                <w:bCs/>
                <w:color w:val="auto"/>
                <w:szCs w:val="20"/>
                <w:highlight w:val="none"/>
              </w:rPr>
              <w:t>以桂爱卫会发（1997）第18号文件《灭鼠、蚊、蝇、蟑螂标准》为依据，每次施工后灭效大于80％为合格。</w:t>
            </w:r>
          </w:p>
          <w:p w14:paraId="60087559">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七</w:t>
            </w: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rPr>
              <w:t>灭蚊蝇</w:t>
            </w:r>
          </w:p>
          <w:p w14:paraId="74435EFB">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val="en-US" w:eastAsia="zh-CN"/>
              </w:rPr>
              <w:t>1.</w:t>
            </w:r>
            <w:r>
              <w:rPr>
                <w:rFonts w:hint="eastAsia" w:ascii="宋体" w:hAnsi="Times New Roman" w:cs="宋体"/>
                <w:b/>
                <w:bCs w:val="0"/>
                <w:color w:val="auto"/>
                <w:szCs w:val="20"/>
                <w:highlight w:val="none"/>
              </w:rPr>
              <w:t>准备工作</w:t>
            </w:r>
          </w:p>
          <w:p w14:paraId="798D35BE">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1）</w:t>
            </w:r>
            <w:r>
              <w:rPr>
                <w:rFonts w:hint="eastAsia" w:ascii="宋体" w:hAnsi="Times New Roman" w:cs="宋体"/>
                <w:bCs/>
                <w:color w:val="auto"/>
                <w:szCs w:val="20"/>
                <w:highlight w:val="none"/>
              </w:rPr>
              <w:t>虫情调查：实地调查蚊蝇的种类及其主要栖息、活动场所，以便确定防治重点。</w:t>
            </w:r>
          </w:p>
          <w:p w14:paraId="13F2AA9C">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2</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根据调查情况，选用高效低毒的灭蚊蝇药剂。</w:t>
            </w:r>
          </w:p>
          <w:p w14:paraId="5BE4AFA3">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val="en-US" w:eastAsia="zh-CN"/>
              </w:rPr>
              <w:t>2.</w:t>
            </w:r>
            <w:r>
              <w:rPr>
                <w:rFonts w:hint="eastAsia" w:ascii="宋体" w:hAnsi="Times New Roman" w:cs="宋体"/>
                <w:b/>
                <w:bCs w:val="0"/>
                <w:color w:val="auto"/>
                <w:szCs w:val="20"/>
                <w:highlight w:val="none"/>
              </w:rPr>
              <w:t>具体措施：</w:t>
            </w:r>
          </w:p>
          <w:p w14:paraId="63E5A905">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1</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外围环境，采用常量或超低容量机械施药法灭蚊、蝇及其它有害飞虫。</w:t>
            </w:r>
          </w:p>
          <w:p w14:paraId="46432BE0">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2</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采用卫生安全的杀虫药，在确保安全的情况下用滞溜喷洒或超低容量喷雾法施药杀灭蚊、蝇（特别针对厕所、排污管道、垃圾箱等蚊蝇孽生地进行定期喷洒药物）。</w:t>
            </w:r>
          </w:p>
          <w:p w14:paraId="45307FC1">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3</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 xml:space="preserve">在有些必要的重点场所（食堂、小卖部）用化学或物理的方法杀灭苍蝇。如滞留喷洒、使用粘蝇纸、灭蝇灯等。 </w:t>
            </w:r>
          </w:p>
          <w:p w14:paraId="0B712AB7">
            <w:pPr>
              <w:spacing w:line="340" w:lineRule="exact"/>
              <w:jc w:val="left"/>
              <w:rPr>
                <w:rFonts w:hint="eastAsia" w:ascii="宋体" w:hAnsi="Times New Roman" w:cs="宋体"/>
                <w:bCs/>
                <w:color w:val="auto"/>
                <w:szCs w:val="20"/>
                <w:highlight w:val="none"/>
              </w:rPr>
            </w:pPr>
            <w:r>
              <w:rPr>
                <w:rFonts w:hint="eastAsia" w:ascii="宋体" w:hAnsi="Times New Roman" w:cs="宋体"/>
                <w:b/>
                <w:bCs w:val="0"/>
                <w:color w:val="auto"/>
                <w:szCs w:val="20"/>
                <w:highlight w:val="none"/>
                <w:lang w:val="en-US" w:eastAsia="zh-CN"/>
              </w:rPr>
              <w:t>3.</w:t>
            </w:r>
            <w:r>
              <w:rPr>
                <w:rFonts w:hint="eastAsia" w:ascii="宋体" w:hAnsi="Times New Roman" w:cs="宋体"/>
                <w:b/>
                <w:bCs w:val="0"/>
                <w:color w:val="auto"/>
                <w:szCs w:val="20"/>
                <w:highlight w:val="none"/>
              </w:rPr>
              <w:t>防治标准：</w:t>
            </w:r>
            <w:r>
              <w:rPr>
                <w:rFonts w:hint="eastAsia" w:ascii="宋体" w:hAnsi="Times New Roman" w:cs="宋体"/>
                <w:bCs/>
                <w:color w:val="auto"/>
                <w:szCs w:val="20"/>
                <w:highlight w:val="none"/>
              </w:rPr>
              <w:t>以全爱卫发（1997）第5号文件为防治效果合格标准，其他害虫以不足引起危害为准。</w:t>
            </w:r>
          </w:p>
          <w:p w14:paraId="77DFFA3C">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1</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灭鼠合格标准：粉迹法≤3%；鼠征法≤2%；鼠夹法≤1%；重点部门防鼠设施不合格处不超过5%。</w:t>
            </w:r>
          </w:p>
          <w:p w14:paraId="1083C3AC">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2</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灭蟑螂合格标准：成虫阳性率≤3%，有蟑螂房间平均大蠊≤5只，小蠊≤10只；卵夹阳性率≤2%，阳性间平均活卵夹≤4只；有蟑螂迹房间不超过5%。</w:t>
            </w:r>
          </w:p>
          <w:p w14:paraId="682ECDA1">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3</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灭蝇合格标准：重点部门阳性间≤1%；其他部门阳性间≤3%，有蝇房间平均成蝇≤3只；加工、销售直接入口食品的场所不得发现成蝇；幼虫和蛹的检出率≤3%。</w:t>
            </w:r>
          </w:p>
          <w:p w14:paraId="63117E6B">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lang w:val="en-US" w:eastAsia="zh-CN"/>
              </w:rPr>
              <w:t>4</w:t>
            </w:r>
            <w:r>
              <w:rPr>
                <w:rFonts w:hint="eastAsia" w:ascii="宋体" w:hAnsi="Times New Roman" w:cs="宋体"/>
                <w:bCs/>
                <w:color w:val="auto"/>
                <w:szCs w:val="20"/>
                <w:highlight w:val="none"/>
                <w:lang w:eastAsia="zh-CN"/>
              </w:rPr>
              <w:t>）</w:t>
            </w:r>
            <w:r>
              <w:rPr>
                <w:rFonts w:hint="eastAsia" w:ascii="宋体" w:hAnsi="Times New Roman" w:cs="宋体"/>
                <w:bCs/>
                <w:color w:val="auto"/>
                <w:szCs w:val="20"/>
                <w:highlight w:val="none"/>
              </w:rPr>
              <w:t>灭蚊合格标准：单位内外环境各种存水容器和积水中，蚊幼或蛹的阳性率≤3%，阳性勺蚊幼或蛹的平均数≤5只。</w:t>
            </w:r>
          </w:p>
          <w:p w14:paraId="41BF22D1">
            <w:pPr>
              <w:spacing w:line="340" w:lineRule="exact"/>
              <w:jc w:val="left"/>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八</w:t>
            </w: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rPr>
              <w:t>需甲方配合以下措施</w:t>
            </w:r>
          </w:p>
          <w:p w14:paraId="4C78D8B1">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val="en-US" w:eastAsia="zh-CN"/>
              </w:rPr>
              <w:t>1.</w:t>
            </w:r>
            <w:r>
              <w:rPr>
                <w:rFonts w:hint="eastAsia" w:ascii="宋体" w:hAnsi="Times New Roman" w:cs="宋体"/>
                <w:bCs/>
                <w:color w:val="auto"/>
                <w:szCs w:val="20"/>
                <w:highlight w:val="none"/>
              </w:rPr>
              <w:t>坚持环境保洁制度，保持环境清洁、整齐。</w:t>
            </w:r>
          </w:p>
          <w:p w14:paraId="03CF1CC8">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val="en-US" w:eastAsia="zh-CN"/>
              </w:rPr>
              <w:t>2.</w:t>
            </w:r>
            <w:r>
              <w:rPr>
                <w:rFonts w:hint="eastAsia" w:ascii="宋体" w:hAnsi="Times New Roman" w:cs="宋体"/>
                <w:bCs/>
                <w:color w:val="auto"/>
                <w:szCs w:val="20"/>
                <w:highlight w:val="none"/>
              </w:rPr>
              <w:t>及时清运生活垃圾。</w:t>
            </w:r>
          </w:p>
          <w:p w14:paraId="67C89BE1">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lang w:val="en-US" w:eastAsia="zh-CN"/>
              </w:rPr>
              <w:t>3.</w:t>
            </w:r>
            <w:r>
              <w:rPr>
                <w:rFonts w:hint="eastAsia" w:ascii="宋体" w:hAnsi="Times New Roman" w:cs="宋体"/>
                <w:bCs/>
                <w:color w:val="auto"/>
                <w:szCs w:val="20"/>
                <w:highlight w:val="none"/>
              </w:rPr>
              <w:t>保持办公室及个人卫生，下班后及时关闭门窗，防老鼠进入。</w:t>
            </w:r>
          </w:p>
          <w:p w14:paraId="37DF042D">
            <w:pPr>
              <w:spacing w:line="340" w:lineRule="exact"/>
              <w:jc w:val="left"/>
              <w:rPr>
                <w:rFonts w:hint="eastAsia" w:ascii="宋体" w:hAnsi="Times New Roman" w:cs="宋体"/>
                <w:bCs/>
                <w:color w:val="auto"/>
                <w:szCs w:val="20"/>
                <w:highlight w:val="none"/>
              </w:rPr>
            </w:pP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lang w:val="en-US" w:eastAsia="zh-CN"/>
              </w:rPr>
              <w:t>九</w:t>
            </w:r>
            <w:r>
              <w:rPr>
                <w:rFonts w:hint="eastAsia" w:ascii="宋体" w:hAnsi="Times New Roman" w:cs="宋体"/>
                <w:b/>
                <w:bCs w:val="0"/>
                <w:color w:val="auto"/>
                <w:szCs w:val="20"/>
                <w:highlight w:val="none"/>
                <w:lang w:eastAsia="zh-CN"/>
              </w:rPr>
              <w:t>）</w:t>
            </w:r>
            <w:r>
              <w:rPr>
                <w:rFonts w:hint="eastAsia" w:ascii="宋体" w:hAnsi="Times New Roman" w:cs="宋体"/>
                <w:b/>
                <w:bCs w:val="0"/>
                <w:color w:val="auto"/>
                <w:szCs w:val="20"/>
                <w:highlight w:val="none"/>
              </w:rPr>
              <w:t>附件1份：广西南宁技师学院各教学点灭四害计划表</w:t>
            </w:r>
            <w:r>
              <w:rPr>
                <w:rFonts w:hint="eastAsia" w:ascii="宋体" w:hAnsi="Times New Roman" w:cs="宋体"/>
                <w:bCs/>
                <w:color w:val="auto"/>
                <w:szCs w:val="20"/>
                <w:highlight w:val="none"/>
              </w:rPr>
              <w:t xml:space="preserve">                                  </w:t>
            </w:r>
          </w:p>
          <w:p w14:paraId="7A6E3D15">
            <w:pPr>
              <w:spacing w:line="340" w:lineRule="exact"/>
              <w:jc w:val="center"/>
              <w:rPr>
                <w:rFonts w:hint="eastAsia" w:ascii="宋体" w:hAnsi="Times New Roman" w:cs="宋体"/>
                <w:b/>
                <w:bCs w:val="0"/>
                <w:color w:val="auto"/>
                <w:szCs w:val="20"/>
                <w:highlight w:val="none"/>
              </w:rPr>
            </w:pPr>
            <w:r>
              <w:rPr>
                <w:rFonts w:hint="eastAsia" w:ascii="宋体" w:hAnsi="Times New Roman" w:cs="宋体"/>
                <w:b/>
                <w:bCs w:val="0"/>
                <w:color w:val="auto"/>
                <w:szCs w:val="20"/>
                <w:highlight w:val="none"/>
              </w:rPr>
              <w:t>广西南宁技师学院各教学点消杀计划表</w:t>
            </w:r>
          </w:p>
          <w:tbl>
            <w:tblPr>
              <w:tblStyle w:val="37"/>
              <w:tblpPr w:leftFromText="180" w:rightFromText="180" w:vertAnchor="text" w:horzAnchor="page" w:tblpX="1075" w:tblpY="534"/>
              <w:tblOverlap w:val="never"/>
              <w:tblW w:w="5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31"/>
              <w:gridCol w:w="1095"/>
              <w:gridCol w:w="1801"/>
              <w:gridCol w:w="704"/>
            </w:tblGrid>
            <w:tr w14:paraId="1531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98" w:type="dxa"/>
                  <w:vAlign w:val="center"/>
                </w:tcPr>
                <w:p w14:paraId="4D079BA3">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rPr>
                    <w:t>序号</w:t>
                  </w:r>
                </w:p>
              </w:tc>
              <w:tc>
                <w:tcPr>
                  <w:tcW w:w="1331" w:type="dxa"/>
                  <w:shd w:val="clear" w:color="auto" w:fill="auto"/>
                  <w:vAlign w:val="center"/>
                </w:tcPr>
                <w:p w14:paraId="2DFF2618">
                  <w:pPr>
                    <w:spacing w:line="340" w:lineRule="exact"/>
                    <w:jc w:val="left"/>
                    <w:rPr>
                      <w:rFonts w:hint="eastAsia" w:ascii="宋体" w:hAnsi="Times New Roman" w:cs="宋体"/>
                      <w:bCs/>
                      <w:color w:val="auto"/>
                      <w:szCs w:val="20"/>
                      <w:highlight w:val="none"/>
                      <w:lang w:val="en-US" w:eastAsia="zh-CN"/>
                    </w:rPr>
                  </w:pPr>
                  <w:r>
                    <w:rPr>
                      <w:rFonts w:hint="eastAsia" w:ascii="宋体" w:hAnsi="Times New Roman" w:cs="宋体"/>
                      <w:bCs/>
                      <w:color w:val="auto"/>
                      <w:szCs w:val="20"/>
                      <w:highlight w:val="none"/>
                      <w:lang w:val="en-US" w:eastAsia="zh-CN"/>
                    </w:rPr>
                    <w:t>办学校区</w:t>
                  </w:r>
                </w:p>
              </w:tc>
              <w:tc>
                <w:tcPr>
                  <w:tcW w:w="1095" w:type="dxa"/>
                  <w:shd w:val="clear" w:color="auto" w:fill="auto"/>
                  <w:vAlign w:val="center"/>
                </w:tcPr>
                <w:p w14:paraId="486963AB">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rPr>
                    <w:t>消杀项目</w:t>
                  </w:r>
                </w:p>
              </w:tc>
              <w:tc>
                <w:tcPr>
                  <w:tcW w:w="1801" w:type="dxa"/>
                  <w:shd w:val="clear" w:color="auto" w:fill="auto"/>
                  <w:vAlign w:val="center"/>
                </w:tcPr>
                <w:p w14:paraId="437AFE50">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rPr>
                    <w:t>消杀次数</w:t>
                  </w:r>
                </w:p>
              </w:tc>
              <w:tc>
                <w:tcPr>
                  <w:tcW w:w="704" w:type="dxa"/>
                  <w:shd w:val="clear" w:color="auto" w:fill="auto"/>
                  <w:vAlign w:val="center"/>
                </w:tcPr>
                <w:p w14:paraId="344B8D93">
                  <w:pPr>
                    <w:spacing w:line="340" w:lineRule="exact"/>
                    <w:jc w:val="left"/>
                    <w:rPr>
                      <w:rFonts w:hint="eastAsia" w:ascii="宋体" w:hAnsi="Times New Roman" w:cs="宋体"/>
                      <w:bCs/>
                      <w:color w:val="auto"/>
                      <w:szCs w:val="20"/>
                      <w:highlight w:val="none"/>
                    </w:rPr>
                  </w:pPr>
                  <w:r>
                    <w:rPr>
                      <w:rFonts w:hint="eastAsia" w:ascii="宋体" w:hAnsi="Times New Roman" w:cs="宋体"/>
                      <w:bCs/>
                      <w:color w:val="auto"/>
                      <w:szCs w:val="20"/>
                      <w:highlight w:val="none"/>
                    </w:rPr>
                    <w:t>备注</w:t>
                  </w:r>
                </w:p>
              </w:tc>
            </w:tr>
            <w:tr w14:paraId="1F3D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598" w:type="dxa"/>
                  <w:vAlign w:val="center"/>
                </w:tcPr>
                <w:p w14:paraId="0345A824">
                  <w:pPr>
                    <w:spacing w:line="340" w:lineRule="exact"/>
                    <w:jc w:val="center"/>
                    <w:rPr>
                      <w:rFonts w:hint="eastAsia" w:ascii="宋体" w:hAnsi="Times New Roman" w:cs="宋体"/>
                      <w:bCs/>
                      <w:color w:val="auto"/>
                      <w:szCs w:val="20"/>
                      <w:highlight w:val="none"/>
                    </w:rPr>
                  </w:pPr>
                  <w:r>
                    <w:rPr>
                      <w:rFonts w:hint="eastAsia" w:ascii="宋体" w:hAnsi="Times New Roman" w:cs="宋体"/>
                      <w:bCs/>
                      <w:color w:val="auto"/>
                      <w:szCs w:val="20"/>
                      <w:highlight w:val="none"/>
                    </w:rPr>
                    <w:t>1</w:t>
                  </w:r>
                </w:p>
              </w:tc>
              <w:tc>
                <w:tcPr>
                  <w:tcW w:w="1331" w:type="dxa"/>
                  <w:shd w:val="clear" w:color="auto" w:fill="auto"/>
                  <w:vAlign w:val="center"/>
                </w:tcPr>
                <w:p w14:paraId="6A081DB4">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南宁市西乡塘区大学西路157号（</w:t>
                  </w:r>
                  <w:r>
                    <w:rPr>
                      <w:rFonts w:asciiTheme="minorEastAsia" w:hAnsiTheme="minorEastAsia" w:eastAsiaTheme="minorEastAsia"/>
                      <w:color w:val="auto"/>
                      <w:szCs w:val="21"/>
                      <w:highlight w:val="none"/>
                    </w:rPr>
                    <w:t>22</w:t>
                  </w:r>
                  <w:r>
                    <w:rPr>
                      <w:rFonts w:hint="eastAsia" w:asciiTheme="minorEastAsia" w:hAnsiTheme="minorEastAsia" w:eastAsiaTheme="minorEastAsia"/>
                      <w:color w:val="auto"/>
                      <w:szCs w:val="21"/>
                      <w:highlight w:val="none"/>
                    </w:rPr>
                    <w:t>栋）</w:t>
                  </w:r>
                </w:p>
              </w:tc>
              <w:tc>
                <w:tcPr>
                  <w:tcW w:w="1095" w:type="dxa"/>
                  <w:shd w:val="clear" w:color="auto" w:fill="auto"/>
                  <w:vAlign w:val="center"/>
                </w:tcPr>
                <w:p w14:paraId="0265D91B">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灭鼠、蟑、蝇、蚊</w:t>
                  </w:r>
                </w:p>
              </w:tc>
              <w:tc>
                <w:tcPr>
                  <w:tcW w:w="1801" w:type="dxa"/>
                  <w:shd w:val="clear" w:color="auto" w:fill="auto"/>
                  <w:vAlign w:val="center"/>
                </w:tcPr>
                <w:p w14:paraId="266C788C">
                  <w:pPr>
                    <w:spacing w:line="34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灭鼠：每月根据老鼠活动情况及时投药消杀；</w:t>
                  </w:r>
                </w:p>
                <w:p w14:paraId="20DD774D">
                  <w:pPr>
                    <w:spacing w:line="340" w:lineRule="exact"/>
                    <w:jc w:val="left"/>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灭蟑螂、蝇、蚊，每月进行一次喷药消杀。</w:t>
                  </w:r>
                </w:p>
              </w:tc>
              <w:tc>
                <w:tcPr>
                  <w:tcW w:w="704" w:type="dxa"/>
                  <w:shd w:val="clear" w:color="auto" w:fill="auto"/>
                  <w:vAlign w:val="center"/>
                </w:tcPr>
                <w:p w14:paraId="76E5D21D">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lang w:val="en-US" w:eastAsia="zh-CN"/>
                    </w:rPr>
                    <w:t>相思湖新校区</w:t>
                  </w:r>
                </w:p>
              </w:tc>
            </w:tr>
            <w:tr w14:paraId="4990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98" w:type="dxa"/>
                  <w:vAlign w:val="center"/>
                </w:tcPr>
                <w:p w14:paraId="240234EF">
                  <w:pPr>
                    <w:spacing w:line="340" w:lineRule="exact"/>
                    <w:jc w:val="center"/>
                    <w:rPr>
                      <w:rFonts w:hint="eastAsia" w:ascii="宋体" w:hAnsi="Times New Roman" w:cs="宋体"/>
                      <w:bCs/>
                      <w:color w:val="auto"/>
                      <w:szCs w:val="20"/>
                      <w:highlight w:val="none"/>
                    </w:rPr>
                  </w:pPr>
                  <w:r>
                    <w:rPr>
                      <w:rFonts w:hint="eastAsia" w:ascii="宋体" w:hAnsi="Times New Roman" w:cs="宋体"/>
                      <w:bCs/>
                      <w:color w:val="auto"/>
                      <w:szCs w:val="20"/>
                      <w:highlight w:val="none"/>
                    </w:rPr>
                    <w:t>2</w:t>
                  </w:r>
                </w:p>
              </w:tc>
              <w:tc>
                <w:tcPr>
                  <w:tcW w:w="1331" w:type="dxa"/>
                  <w:shd w:val="clear" w:color="auto" w:fill="auto"/>
                  <w:vAlign w:val="center"/>
                </w:tcPr>
                <w:p w14:paraId="33530529">
                  <w:pPr>
                    <w:spacing w:line="340" w:lineRule="exact"/>
                    <w:ind w:left="210" w:leftChars="0" w:hanging="210" w:hangingChars="100"/>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南宁市西乡塘区明秀西路153号（5亩）</w:t>
                  </w:r>
                </w:p>
              </w:tc>
              <w:tc>
                <w:tcPr>
                  <w:tcW w:w="1095" w:type="dxa"/>
                  <w:shd w:val="clear" w:color="auto" w:fill="auto"/>
                  <w:vAlign w:val="center"/>
                </w:tcPr>
                <w:p w14:paraId="4801F8C1">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灭鼠、蟑、蝇、蚊</w:t>
                  </w:r>
                </w:p>
              </w:tc>
              <w:tc>
                <w:tcPr>
                  <w:tcW w:w="1801" w:type="dxa"/>
                  <w:shd w:val="clear" w:color="auto" w:fill="auto"/>
                  <w:vAlign w:val="center"/>
                </w:tcPr>
                <w:p w14:paraId="6BDA5F35">
                  <w:pPr>
                    <w:spacing w:line="34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灭鼠：每两</w:t>
                  </w:r>
                  <w:r>
                    <w:rPr>
                      <w:rFonts w:hint="eastAsia" w:asciiTheme="minorEastAsia" w:hAnsiTheme="minorEastAsia" w:eastAsiaTheme="minorEastAsia"/>
                      <w:color w:val="auto"/>
                      <w:szCs w:val="21"/>
                      <w:highlight w:val="none"/>
                      <w:lang w:val="en-US" w:eastAsia="zh-CN"/>
                    </w:rPr>
                    <w:t>个</w:t>
                  </w:r>
                  <w:r>
                    <w:rPr>
                      <w:rFonts w:hint="eastAsia" w:asciiTheme="minorEastAsia" w:hAnsiTheme="minorEastAsia" w:eastAsiaTheme="minorEastAsia"/>
                      <w:color w:val="auto"/>
                      <w:szCs w:val="21"/>
                      <w:highlight w:val="none"/>
                    </w:rPr>
                    <w:t>月根据老鼠活动情况及时投药消杀；</w:t>
                  </w:r>
                </w:p>
                <w:p w14:paraId="24C4A168">
                  <w:pPr>
                    <w:spacing w:line="340" w:lineRule="exact"/>
                    <w:jc w:val="left"/>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灭蟑螂、蝇、蚊，每</w:t>
                  </w:r>
                  <w:r>
                    <w:rPr>
                      <w:rFonts w:hint="eastAsia" w:asciiTheme="minorEastAsia" w:hAnsiTheme="minorEastAsia" w:eastAsiaTheme="minorEastAsia"/>
                      <w:color w:val="auto"/>
                      <w:szCs w:val="21"/>
                      <w:highlight w:val="none"/>
                      <w:lang w:val="en-US" w:eastAsia="zh-CN"/>
                    </w:rPr>
                    <w:t>两</w:t>
                  </w:r>
                  <w:r>
                    <w:rPr>
                      <w:rFonts w:hint="eastAsia" w:asciiTheme="minorEastAsia" w:hAnsiTheme="minorEastAsia" w:eastAsiaTheme="minorEastAsia"/>
                      <w:color w:val="auto"/>
                      <w:szCs w:val="21"/>
                      <w:highlight w:val="none"/>
                    </w:rPr>
                    <w:t>个月进行一次喷药消杀。</w:t>
                  </w:r>
                </w:p>
              </w:tc>
              <w:tc>
                <w:tcPr>
                  <w:tcW w:w="704" w:type="dxa"/>
                  <w:shd w:val="clear" w:color="auto" w:fill="auto"/>
                  <w:vAlign w:val="center"/>
                </w:tcPr>
                <w:p w14:paraId="41E42098">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lang w:val="en-US" w:eastAsia="zh-CN"/>
                    </w:rPr>
                    <w:t>一轻校区</w:t>
                  </w:r>
                </w:p>
              </w:tc>
            </w:tr>
            <w:tr w14:paraId="5B29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98" w:type="dxa"/>
                  <w:vAlign w:val="center"/>
                </w:tcPr>
                <w:p w14:paraId="58060534">
                  <w:pPr>
                    <w:spacing w:line="340" w:lineRule="exact"/>
                    <w:jc w:val="center"/>
                    <w:rPr>
                      <w:rFonts w:hint="eastAsia" w:ascii="宋体" w:hAnsi="Times New Roman" w:cs="宋体"/>
                      <w:bCs/>
                      <w:color w:val="auto"/>
                      <w:szCs w:val="20"/>
                      <w:highlight w:val="none"/>
                    </w:rPr>
                  </w:pPr>
                  <w:r>
                    <w:rPr>
                      <w:rFonts w:hint="eastAsia" w:ascii="宋体" w:hAnsi="Times New Roman" w:cs="宋体"/>
                      <w:bCs/>
                      <w:color w:val="auto"/>
                      <w:szCs w:val="20"/>
                      <w:highlight w:val="none"/>
                    </w:rPr>
                    <w:t>3</w:t>
                  </w:r>
                </w:p>
              </w:tc>
              <w:tc>
                <w:tcPr>
                  <w:tcW w:w="1331" w:type="dxa"/>
                  <w:shd w:val="clear" w:color="auto" w:fill="auto"/>
                  <w:vAlign w:val="center"/>
                </w:tcPr>
                <w:p w14:paraId="5071C18A">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南宁市西乡塘区望州路北二里17号（4亩）</w:t>
                  </w:r>
                </w:p>
              </w:tc>
              <w:tc>
                <w:tcPr>
                  <w:tcW w:w="1095" w:type="dxa"/>
                  <w:shd w:val="clear" w:color="auto" w:fill="auto"/>
                  <w:vAlign w:val="center"/>
                </w:tcPr>
                <w:p w14:paraId="4A934AEE">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灭鼠、蟑、蝇、蚊</w:t>
                  </w:r>
                </w:p>
              </w:tc>
              <w:tc>
                <w:tcPr>
                  <w:tcW w:w="1801" w:type="dxa"/>
                  <w:shd w:val="clear" w:color="auto" w:fill="auto"/>
                  <w:vAlign w:val="center"/>
                </w:tcPr>
                <w:p w14:paraId="57A43840">
                  <w:pPr>
                    <w:spacing w:line="34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灭鼠：每月根据老鼠活动情况及时投药消杀；</w:t>
                  </w:r>
                </w:p>
                <w:p w14:paraId="5EEAE3D7">
                  <w:pPr>
                    <w:spacing w:line="340" w:lineRule="exact"/>
                    <w:jc w:val="left"/>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灭蟑螂、蝇、蚊，每月进行一次喷药消杀。</w:t>
                  </w:r>
                </w:p>
              </w:tc>
              <w:tc>
                <w:tcPr>
                  <w:tcW w:w="704" w:type="dxa"/>
                  <w:shd w:val="clear" w:color="auto" w:fill="auto"/>
                  <w:vAlign w:val="center"/>
                </w:tcPr>
                <w:p w14:paraId="19638CD3">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lang w:val="en-US" w:eastAsia="zh-CN"/>
                    </w:rPr>
                    <w:t>二轻校区</w:t>
                  </w:r>
                </w:p>
              </w:tc>
            </w:tr>
            <w:tr w14:paraId="087C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98" w:type="dxa"/>
                  <w:vAlign w:val="center"/>
                </w:tcPr>
                <w:p w14:paraId="208BDA09">
                  <w:pPr>
                    <w:spacing w:line="340" w:lineRule="exact"/>
                    <w:jc w:val="center"/>
                    <w:rPr>
                      <w:rFonts w:hint="eastAsia" w:ascii="宋体" w:hAnsi="Times New Roman" w:cs="宋体"/>
                      <w:bCs/>
                      <w:color w:val="auto"/>
                      <w:szCs w:val="20"/>
                      <w:highlight w:val="none"/>
                    </w:rPr>
                  </w:pPr>
                  <w:r>
                    <w:rPr>
                      <w:rFonts w:hint="eastAsia" w:ascii="宋体" w:hAnsi="Times New Roman" w:cs="宋体"/>
                      <w:bCs/>
                      <w:color w:val="auto"/>
                      <w:szCs w:val="20"/>
                      <w:highlight w:val="none"/>
                    </w:rPr>
                    <w:t>4</w:t>
                  </w:r>
                </w:p>
              </w:tc>
              <w:tc>
                <w:tcPr>
                  <w:tcW w:w="1331" w:type="dxa"/>
                  <w:shd w:val="clear" w:color="auto" w:fill="auto"/>
                  <w:vAlign w:val="center"/>
                </w:tcPr>
                <w:p w14:paraId="5B6ED77F">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南宁市江南区五一西路5号（50亩）</w:t>
                  </w:r>
                </w:p>
              </w:tc>
              <w:tc>
                <w:tcPr>
                  <w:tcW w:w="1095" w:type="dxa"/>
                  <w:shd w:val="clear" w:color="auto" w:fill="auto"/>
                  <w:vAlign w:val="center"/>
                </w:tcPr>
                <w:p w14:paraId="1C5EBA5A">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灭鼠、蟑、蝇、蚊</w:t>
                  </w:r>
                </w:p>
              </w:tc>
              <w:tc>
                <w:tcPr>
                  <w:tcW w:w="1801" w:type="dxa"/>
                  <w:shd w:val="clear" w:color="auto" w:fill="auto"/>
                  <w:vAlign w:val="center"/>
                </w:tcPr>
                <w:p w14:paraId="753239E3">
                  <w:pPr>
                    <w:spacing w:line="34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灭鼠：每两个月根据老鼠活动情况及时投药消杀；</w:t>
                  </w:r>
                </w:p>
                <w:p w14:paraId="3169E795">
                  <w:pPr>
                    <w:spacing w:line="340" w:lineRule="exact"/>
                    <w:jc w:val="left"/>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灭蟑螂、蝇、蚊，每两个月进行一次喷药消杀。</w:t>
                  </w:r>
                </w:p>
              </w:tc>
              <w:tc>
                <w:tcPr>
                  <w:tcW w:w="704" w:type="dxa"/>
                  <w:shd w:val="clear" w:color="auto" w:fill="auto"/>
                  <w:vAlign w:val="center"/>
                </w:tcPr>
                <w:p w14:paraId="3C7CCBF6">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shd w:val="clear" w:color="auto" w:fill="auto"/>
                      <w:lang w:val="en-US" w:eastAsia="zh-CN"/>
                    </w:rPr>
                    <w:t>南技校区</w:t>
                  </w:r>
                </w:p>
              </w:tc>
            </w:tr>
            <w:tr w14:paraId="7441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98" w:type="dxa"/>
                  <w:vAlign w:val="center"/>
                </w:tcPr>
                <w:p w14:paraId="54AE3BAB">
                  <w:pPr>
                    <w:spacing w:line="340" w:lineRule="exact"/>
                    <w:jc w:val="center"/>
                    <w:rPr>
                      <w:rFonts w:hint="eastAsia" w:ascii="宋体" w:hAnsi="Times New Roman" w:cs="宋体"/>
                      <w:bCs/>
                      <w:color w:val="auto"/>
                      <w:szCs w:val="20"/>
                      <w:highlight w:val="none"/>
                    </w:rPr>
                  </w:pPr>
                  <w:r>
                    <w:rPr>
                      <w:rFonts w:hint="eastAsia" w:ascii="宋体" w:hAnsi="Times New Roman" w:cs="宋体"/>
                      <w:bCs/>
                      <w:color w:val="auto"/>
                      <w:szCs w:val="20"/>
                      <w:highlight w:val="none"/>
                    </w:rPr>
                    <w:t>5</w:t>
                  </w:r>
                </w:p>
              </w:tc>
              <w:tc>
                <w:tcPr>
                  <w:tcW w:w="1331" w:type="dxa"/>
                  <w:shd w:val="clear" w:color="auto" w:fill="auto"/>
                  <w:vAlign w:val="center"/>
                </w:tcPr>
                <w:p w14:paraId="0BFA6075">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南宁市西乡塘区陈西村45号（17亩）</w:t>
                  </w:r>
                </w:p>
              </w:tc>
              <w:tc>
                <w:tcPr>
                  <w:tcW w:w="1095" w:type="dxa"/>
                  <w:shd w:val="clear" w:color="auto" w:fill="auto"/>
                  <w:vAlign w:val="center"/>
                </w:tcPr>
                <w:p w14:paraId="29116C2A">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灭鼠、蟑、蝇、蚊</w:t>
                  </w:r>
                </w:p>
              </w:tc>
              <w:tc>
                <w:tcPr>
                  <w:tcW w:w="1801" w:type="dxa"/>
                  <w:shd w:val="clear" w:color="auto" w:fill="auto"/>
                  <w:vAlign w:val="center"/>
                </w:tcPr>
                <w:p w14:paraId="42B92B88">
                  <w:pPr>
                    <w:spacing w:line="34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灭鼠：每</w:t>
                  </w:r>
                  <w:r>
                    <w:rPr>
                      <w:rFonts w:hint="eastAsia" w:asciiTheme="minorEastAsia" w:hAnsiTheme="minorEastAsia" w:eastAsiaTheme="minorEastAsia"/>
                      <w:color w:val="auto"/>
                      <w:szCs w:val="21"/>
                      <w:highlight w:val="none"/>
                      <w:lang w:val="en-US" w:eastAsia="zh-CN"/>
                    </w:rPr>
                    <w:t>两</w:t>
                  </w:r>
                  <w:r>
                    <w:rPr>
                      <w:rFonts w:hint="eastAsia" w:asciiTheme="minorEastAsia" w:hAnsiTheme="minorEastAsia" w:eastAsiaTheme="minorEastAsia"/>
                      <w:color w:val="auto"/>
                      <w:szCs w:val="21"/>
                      <w:highlight w:val="none"/>
                    </w:rPr>
                    <w:t>月根据老鼠活动情况及时投药消杀；</w:t>
                  </w:r>
                </w:p>
                <w:p w14:paraId="3416F971">
                  <w:pPr>
                    <w:spacing w:line="340" w:lineRule="exact"/>
                    <w:jc w:val="left"/>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w:t>
                  </w:r>
                  <w:r>
                    <w:rPr>
                      <w:rFonts w:hint="eastAsia" w:asciiTheme="minorEastAsia" w:hAnsiTheme="minorEastAsia" w:eastAsiaTheme="minorEastAsia"/>
                      <w:color w:val="auto"/>
                      <w:szCs w:val="21"/>
                      <w:highlight w:val="none"/>
                    </w:rPr>
                    <w:t>灭蟑螂、蝇、蚊，每</w:t>
                  </w:r>
                  <w:r>
                    <w:rPr>
                      <w:rFonts w:hint="eastAsia" w:asciiTheme="minorEastAsia" w:hAnsiTheme="minorEastAsia" w:eastAsiaTheme="minorEastAsia"/>
                      <w:color w:val="auto"/>
                      <w:szCs w:val="21"/>
                      <w:highlight w:val="none"/>
                      <w:lang w:val="en-US" w:eastAsia="zh-CN"/>
                    </w:rPr>
                    <w:t>两</w:t>
                  </w:r>
                  <w:r>
                    <w:rPr>
                      <w:rFonts w:hint="eastAsia" w:asciiTheme="minorEastAsia" w:hAnsiTheme="minorEastAsia" w:eastAsiaTheme="minorEastAsia"/>
                      <w:color w:val="auto"/>
                      <w:szCs w:val="21"/>
                      <w:highlight w:val="none"/>
                    </w:rPr>
                    <w:t>月进行一次喷药消杀。</w:t>
                  </w:r>
                </w:p>
              </w:tc>
              <w:tc>
                <w:tcPr>
                  <w:tcW w:w="704" w:type="dxa"/>
                  <w:shd w:val="clear" w:color="auto" w:fill="auto"/>
                  <w:vAlign w:val="center"/>
                </w:tcPr>
                <w:p w14:paraId="3BDF5923">
                  <w:pPr>
                    <w:spacing w:line="340" w:lineRule="exact"/>
                    <w:jc w:val="center"/>
                    <w:rPr>
                      <w:rFonts w:hint="eastAsia" w:ascii="宋体" w:hAnsi="Times New Roman" w:cs="宋体"/>
                      <w:bCs/>
                      <w:color w:val="auto"/>
                      <w:szCs w:val="20"/>
                      <w:highlight w:val="none"/>
                    </w:rPr>
                  </w:pPr>
                  <w:r>
                    <w:rPr>
                      <w:rFonts w:hint="eastAsia" w:asciiTheme="minorEastAsia" w:hAnsiTheme="minorEastAsia" w:eastAsiaTheme="minorEastAsia"/>
                      <w:color w:val="auto"/>
                      <w:szCs w:val="21"/>
                      <w:highlight w:val="none"/>
                      <w:lang w:val="en-US" w:eastAsia="zh-CN"/>
                    </w:rPr>
                    <w:t>财经校区</w:t>
                  </w:r>
                </w:p>
              </w:tc>
            </w:tr>
          </w:tbl>
          <w:p w14:paraId="69EBF4B7">
            <w:pPr>
              <w:spacing w:line="340" w:lineRule="exact"/>
              <w:jc w:val="left"/>
              <w:rPr>
                <w:rFonts w:hint="eastAsia" w:ascii="宋体" w:hAnsi="Times New Roman" w:cs="宋体"/>
                <w:bCs/>
                <w:color w:val="auto"/>
                <w:szCs w:val="20"/>
                <w:highlight w:val="none"/>
              </w:rPr>
            </w:pPr>
          </w:p>
        </w:tc>
        <w:tc>
          <w:tcPr>
            <w:tcW w:w="708" w:type="dxa"/>
            <w:shd w:val="clear" w:color="auto" w:fill="auto"/>
            <w:vAlign w:val="center"/>
          </w:tcPr>
          <w:p w14:paraId="5530BEB9">
            <w:pPr>
              <w:widowControl/>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批</w:t>
            </w:r>
          </w:p>
        </w:tc>
        <w:tc>
          <w:tcPr>
            <w:tcW w:w="709" w:type="dxa"/>
            <w:shd w:val="clear" w:color="auto" w:fill="auto"/>
            <w:vAlign w:val="center"/>
          </w:tcPr>
          <w:p w14:paraId="3EA6ADDB">
            <w:pPr>
              <w:widowControl/>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1</w:t>
            </w:r>
          </w:p>
        </w:tc>
        <w:tc>
          <w:tcPr>
            <w:tcW w:w="992" w:type="dxa"/>
            <w:shd w:val="clear" w:color="auto" w:fill="auto"/>
            <w:vAlign w:val="center"/>
          </w:tcPr>
          <w:p w14:paraId="3A0D45CA">
            <w:pPr>
              <w:widowControl/>
              <w:jc w:val="center"/>
              <w:rPr>
                <w:rFonts w:hint="default" w:ascii="宋体" w:hAnsi="宋体" w:eastAsia="宋体" w:cs="宋体"/>
                <w:kern w:val="0"/>
                <w:highlight w:val="none"/>
                <w:lang w:val="en-US" w:eastAsia="zh-CN"/>
              </w:rPr>
            </w:pPr>
            <w:r>
              <w:rPr>
                <w:rFonts w:hint="eastAsia" w:ascii="宋体" w:hAnsi="宋体" w:cs="宋体"/>
                <w:color w:val="auto"/>
                <w:kern w:val="0"/>
                <w:highlight w:val="none"/>
                <w:lang w:val="en-US" w:eastAsia="zh-CN"/>
              </w:rPr>
              <w:t>50000</w:t>
            </w:r>
          </w:p>
        </w:tc>
      </w:tr>
      <w:tr w14:paraId="4C28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1" w:type="dxa"/>
            <w:shd w:val="clear" w:color="auto" w:fill="auto"/>
            <w:vAlign w:val="center"/>
          </w:tcPr>
          <w:p w14:paraId="1B283806">
            <w:pPr>
              <w:widowControl/>
              <w:rPr>
                <w:rFonts w:ascii="宋体" w:hAnsi="宋体" w:cs="宋体"/>
                <w:kern w:val="0"/>
              </w:rPr>
            </w:pPr>
          </w:p>
        </w:tc>
        <w:tc>
          <w:tcPr>
            <w:tcW w:w="1104" w:type="dxa"/>
            <w:tcBorders>
              <w:top w:val="single" w:color="auto" w:sz="8" w:space="0"/>
              <w:left w:val="single" w:color="auto" w:sz="8" w:space="0"/>
              <w:bottom w:val="single" w:color="auto" w:sz="8" w:space="0"/>
              <w:right w:val="single" w:color="auto" w:sz="8" w:space="0"/>
            </w:tcBorders>
            <w:vAlign w:val="center"/>
          </w:tcPr>
          <w:p w14:paraId="278CF29C">
            <w:pPr>
              <w:widowControl/>
              <w:rPr>
                <w:rFonts w:ascii="宋体" w:cs="宋体"/>
                <w:kern w:val="0"/>
              </w:rPr>
            </w:pPr>
          </w:p>
        </w:tc>
        <w:tc>
          <w:tcPr>
            <w:tcW w:w="1275" w:type="dxa"/>
            <w:tcBorders>
              <w:top w:val="single" w:color="auto" w:sz="8" w:space="0"/>
              <w:left w:val="single" w:color="auto" w:sz="8" w:space="0"/>
              <w:bottom w:val="single" w:color="auto" w:sz="8" w:space="0"/>
              <w:right w:val="single" w:color="auto" w:sz="8" w:space="0"/>
            </w:tcBorders>
            <w:vAlign w:val="center"/>
          </w:tcPr>
          <w:p w14:paraId="3CFCF9B5">
            <w:pPr>
              <w:widowControl/>
              <w:rPr>
                <w:rFonts w:ascii="宋体" w:hAnsi="宋体" w:cs="宋体"/>
                <w:kern w:val="0"/>
              </w:rPr>
            </w:pPr>
          </w:p>
        </w:tc>
        <w:tc>
          <w:tcPr>
            <w:tcW w:w="5529" w:type="dxa"/>
            <w:tcBorders>
              <w:top w:val="single" w:color="auto" w:sz="8" w:space="0"/>
              <w:left w:val="single" w:color="auto" w:sz="8" w:space="0"/>
              <w:bottom w:val="single" w:color="auto" w:sz="8" w:space="0"/>
              <w:right w:val="single" w:color="auto" w:sz="8" w:space="0"/>
            </w:tcBorders>
            <w:vAlign w:val="center"/>
          </w:tcPr>
          <w:p w14:paraId="1DFD7727">
            <w:pPr>
              <w:pStyle w:val="102"/>
              <w:numPr>
                <w:ilvl w:val="0"/>
                <w:numId w:val="0"/>
              </w:numPr>
              <w:spacing w:line="560" w:lineRule="exact"/>
              <w:ind w:leftChars="0"/>
              <w:jc w:val="left"/>
              <w:rPr>
                <w:rFonts w:hint="eastAsia" w:asciiTheme="minorEastAsia" w:hAnsiTheme="minorEastAsia" w:eastAsiaTheme="minorEastAsia"/>
                <w:b/>
                <w:color w:val="auto"/>
                <w:sz w:val="22"/>
                <w:szCs w:val="28"/>
                <w:highlight w:val="none"/>
                <w:lang w:val="en-US" w:eastAsia="zh-CN"/>
              </w:rPr>
            </w:pPr>
            <w:r>
              <w:rPr>
                <w:rFonts w:hint="eastAsia" w:asciiTheme="minorEastAsia" w:hAnsiTheme="minorEastAsia" w:eastAsiaTheme="minorEastAsia"/>
                <w:b/>
                <w:bCs w:val="0"/>
                <w:color w:val="auto"/>
                <w:sz w:val="22"/>
                <w:szCs w:val="28"/>
                <w:highlight w:val="none"/>
                <w:lang w:val="en-US" w:eastAsia="zh-CN"/>
              </w:rPr>
              <w:t>二、</w:t>
            </w:r>
            <w:r>
              <w:rPr>
                <w:rFonts w:hint="eastAsia" w:ascii="宋体" w:cs="宋体"/>
                <w:b/>
                <w:bCs w:val="0"/>
                <w:color w:val="auto"/>
                <w:kern w:val="0"/>
                <w:highlight w:val="none"/>
              </w:rPr>
              <w:t>红火蚁、隐翅虫、臭虫防治服务</w:t>
            </w:r>
          </w:p>
          <w:p w14:paraId="3C92A5EA">
            <w:pPr>
              <w:pStyle w:val="10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asciiTheme="minorEastAsia" w:hAnsiTheme="minorEastAsia" w:eastAsiaTheme="minorEastAsia"/>
                <w:color w:val="auto"/>
                <w:sz w:val="22"/>
                <w:szCs w:val="28"/>
                <w:highlight w:val="none"/>
              </w:rPr>
            </w:pPr>
            <w:r>
              <w:rPr>
                <w:rFonts w:hint="eastAsia" w:asciiTheme="minorEastAsia" w:hAnsiTheme="minorEastAsia" w:eastAsiaTheme="minorEastAsia"/>
                <w:b/>
                <w:color w:val="auto"/>
                <w:sz w:val="22"/>
                <w:szCs w:val="28"/>
                <w:highlight w:val="none"/>
                <w:lang w:eastAsia="zh-CN"/>
              </w:rPr>
              <w:t>（</w:t>
            </w:r>
            <w:r>
              <w:rPr>
                <w:rFonts w:hint="eastAsia" w:asciiTheme="minorEastAsia" w:hAnsiTheme="minorEastAsia" w:eastAsiaTheme="minorEastAsia"/>
                <w:b/>
                <w:color w:val="auto"/>
                <w:sz w:val="22"/>
                <w:szCs w:val="28"/>
                <w:highlight w:val="none"/>
                <w:lang w:val="en-US" w:eastAsia="zh-CN"/>
              </w:rPr>
              <w:t>一</w:t>
            </w:r>
            <w:r>
              <w:rPr>
                <w:rFonts w:hint="eastAsia" w:asciiTheme="minorEastAsia" w:hAnsiTheme="minorEastAsia" w:eastAsiaTheme="minorEastAsia"/>
                <w:b/>
                <w:color w:val="auto"/>
                <w:sz w:val="22"/>
                <w:szCs w:val="28"/>
                <w:highlight w:val="none"/>
                <w:lang w:eastAsia="zh-CN"/>
              </w:rPr>
              <w:t>）</w:t>
            </w:r>
            <w:r>
              <w:rPr>
                <w:rFonts w:hint="eastAsia" w:asciiTheme="minorEastAsia" w:hAnsiTheme="minorEastAsia" w:eastAsiaTheme="minorEastAsia"/>
                <w:b/>
                <w:color w:val="auto"/>
                <w:sz w:val="22"/>
                <w:szCs w:val="28"/>
                <w:highlight w:val="none"/>
              </w:rPr>
              <w:t>防治地点（范围）：</w:t>
            </w:r>
            <w:r>
              <w:rPr>
                <w:rFonts w:hint="eastAsia" w:ascii="宋体" w:hAnsi="Times New Roman" w:eastAsia="宋体" w:cs="宋体"/>
                <w:color w:val="auto"/>
                <w:kern w:val="2"/>
                <w:sz w:val="21"/>
                <w:szCs w:val="21"/>
                <w:highlight w:val="none"/>
                <w:lang w:val="en-US" w:eastAsia="zh-CN" w:bidi="ar-SA"/>
              </w:rPr>
              <w:t>广西南宁技师学院新校区（南宁市西乡塘区大学西路157号）。</w:t>
            </w:r>
          </w:p>
          <w:p w14:paraId="6DD6A7F2">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asciiTheme="minorEastAsia" w:hAnsiTheme="minorEastAsia" w:eastAsiaTheme="minorEastAsia"/>
                <w:color w:val="auto"/>
                <w:sz w:val="22"/>
                <w:szCs w:val="28"/>
                <w:highlight w:val="none"/>
              </w:rPr>
            </w:pPr>
            <w:r>
              <w:rPr>
                <w:rFonts w:hint="eastAsia" w:asciiTheme="minorEastAsia" w:hAnsiTheme="minorEastAsia" w:eastAsiaTheme="minorEastAsia"/>
                <w:b/>
                <w:color w:val="auto"/>
                <w:sz w:val="22"/>
                <w:szCs w:val="28"/>
                <w:highlight w:val="none"/>
                <w:lang w:eastAsia="zh-CN"/>
              </w:rPr>
              <w:t>（二）</w:t>
            </w:r>
            <w:r>
              <w:rPr>
                <w:rFonts w:hint="eastAsia" w:asciiTheme="minorEastAsia" w:hAnsiTheme="minorEastAsia" w:eastAsiaTheme="minorEastAsia"/>
                <w:b/>
                <w:color w:val="auto"/>
                <w:sz w:val="22"/>
                <w:szCs w:val="28"/>
                <w:highlight w:val="none"/>
              </w:rPr>
              <w:t>防治项目：</w:t>
            </w:r>
            <w:r>
              <w:rPr>
                <w:rFonts w:hint="eastAsia" w:ascii="宋体" w:hAnsi="Times New Roman" w:eastAsia="宋体" w:cs="宋体"/>
                <w:color w:val="auto"/>
                <w:kern w:val="2"/>
                <w:sz w:val="21"/>
                <w:szCs w:val="21"/>
                <w:highlight w:val="none"/>
                <w:lang w:val="en-US" w:eastAsia="zh-CN" w:bidi="ar-SA"/>
              </w:rPr>
              <w:t>红火蚁、臭虫、隐翅虫。</w:t>
            </w:r>
          </w:p>
          <w:p w14:paraId="43C007FF">
            <w:pPr>
              <w:keepNext w:val="0"/>
              <w:keepLines w:val="0"/>
              <w:pageBreakBefore w:val="0"/>
              <w:widowControl w:val="0"/>
              <w:kinsoku/>
              <w:wordWrap/>
              <w:overflowPunct/>
              <w:topLinePunct w:val="0"/>
              <w:autoSpaceDE/>
              <w:autoSpaceDN/>
              <w:bidi w:val="0"/>
              <w:adjustRightInd/>
              <w:snapToGrid/>
              <w:spacing w:line="340" w:lineRule="exact"/>
              <w:ind w:left="1767" w:right="0" w:rightChars="0" w:hanging="1687" w:hangingChars="800"/>
              <w:jc w:val="left"/>
              <w:textAlignment w:val="auto"/>
              <w:outlineLvl w:val="9"/>
              <w:rPr>
                <w:rFonts w:asciiTheme="minorEastAsia" w:hAnsiTheme="minorEastAsia" w:eastAsiaTheme="minorEastAsia"/>
                <w:color w:val="auto"/>
                <w:sz w:val="22"/>
                <w:szCs w:val="28"/>
                <w:highlight w:val="none"/>
              </w:rPr>
            </w:pPr>
            <w:r>
              <w:rPr>
                <w:rFonts w:hint="eastAsia" w:ascii="宋体" w:hAnsi="Times New Roman" w:cs="宋体"/>
                <w:b/>
                <w:color w:val="auto"/>
                <w:highlight w:val="none"/>
              </w:rPr>
              <w:t>▲</w:t>
            </w:r>
            <w:r>
              <w:rPr>
                <w:rFonts w:hint="eastAsia" w:ascii="宋体" w:hAnsi="Times New Roman" w:cs="宋体"/>
                <w:b/>
                <w:color w:val="auto"/>
                <w:highlight w:val="none"/>
                <w:lang w:eastAsia="zh-CN"/>
              </w:rPr>
              <w:t>（</w:t>
            </w:r>
            <w:r>
              <w:rPr>
                <w:rFonts w:hint="eastAsia" w:ascii="宋体" w:hAnsi="Times New Roman" w:cs="宋体"/>
                <w:b/>
                <w:color w:val="auto"/>
                <w:highlight w:val="none"/>
                <w:lang w:val="en-US" w:eastAsia="zh-CN"/>
              </w:rPr>
              <w:t>三</w:t>
            </w:r>
            <w:r>
              <w:rPr>
                <w:rFonts w:hint="eastAsia" w:ascii="宋体" w:hAnsi="Times New Roman" w:cs="宋体"/>
                <w:b/>
                <w:color w:val="auto"/>
                <w:highlight w:val="none"/>
                <w:lang w:eastAsia="zh-CN"/>
              </w:rPr>
              <w:t>）</w:t>
            </w:r>
            <w:r>
              <w:rPr>
                <w:rFonts w:hint="eastAsia" w:asciiTheme="minorEastAsia" w:hAnsiTheme="minorEastAsia" w:eastAsiaTheme="minorEastAsia"/>
                <w:b/>
                <w:color w:val="auto"/>
                <w:sz w:val="22"/>
                <w:szCs w:val="28"/>
                <w:highlight w:val="none"/>
              </w:rPr>
              <w:t>防治时间：</w:t>
            </w:r>
            <w:r>
              <w:rPr>
                <w:rFonts w:hint="eastAsia" w:asciiTheme="minorEastAsia" w:hAnsiTheme="minorEastAsia" w:eastAsiaTheme="minorEastAsia"/>
                <w:b/>
                <w:color w:val="auto"/>
                <w:sz w:val="22"/>
                <w:szCs w:val="28"/>
                <w:highlight w:val="none"/>
                <w:u w:val="single"/>
              </w:rPr>
              <w:t xml:space="preserve"> </w:t>
            </w:r>
            <w:r>
              <w:rPr>
                <w:rFonts w:hint="eastAsia" w:ascii="宋体" w:hAnsi="Times New Roman" w:eastAsia="宋体" w:cs="宋体"/>
                <w:color w:val="auto"/>
                <w:kern w:val="2"/>
                <w:sz w:val="21"/>
                <w:szCs w:val="21"/>
                <w:highlight w:val="none"/>
                <w:u w:val="single"/>
                <w:lang w:val="en-US" w:eastAsia="zh-CN" w:bidi="ar-SA"/>
              </w:rPr>
              <w:t>202</w:t>
            </w:r>
            <w:r>
              <w:rPr>
                <w:rFonts w:hint="eastAsia" w:ascii="宋体" w:hAnsi="Times New Roman" w:cs="宋体"/>
                <w:color w:val="auto"/>
                <w:kern w:val="2"/>
                <w:sz w:val="21"/>
                <w:szCs w:val="21"/>
                <w:highlight w:val="none"/>
                <w:u w:val="single"/>
                <w:lang w:val="en-US" w:eastAsia="zh-CN" w:bidi="ar-SA"/>
              </w:rPr>
              <w:t>5</w:t>
            </w:r>
            <w:r>
              <w:rPr>
                <w:rFonts w:hint="eastAsia" w:ascii="宋体" w:hAnsi="Times New Roman" w:eastAsia="宋体" w:cs="宋体"/>
                <w:color w:val="auto"/>
                <w:kern w:val="2"/>
                <w:sz w:val="21"/>
                <w:szCs w:val="21"/>
                <w:highlight w:val="none"/>
                <w:lang w:val="en-US" w:eastAsia="zh-CN" w:bidi="ar-SA"/>
              </w:rPr>
              <w:t xml:space="preserve">年 </w:t>
            </w:r>
            <w:r>
              <w:rPr>
                <w:rFonts w:hint="eastAsia" w:ascii="宋体" w:hAnsi="Times New Roman" w:eastAsia="宋体" w:cs="宋体"/>
                <w:color w:val="auto"/>
                <w:kern w:val="2"/>
                <w:sz w:val="21"/>
                <w:szCs w:val="21"/>
                <w:highlight w:val="none"/>
                <w:u w:val="single"/>
                <w:lang w:val="en-US" w:eastAsia="zh-CN" w:bidi="ar-SA"/>
              </w:rPr>
              <w:t>1</w:t>
            </w:r>
            <w:r>
              <w:rPr>
                <w:rFonts w:hint="eastAsia" w:ascii="宋体" w:hAnsi="Times New Roman" w:eastAsia="宋体" w:cs="宋体"/>
                <w:color w:val="auto"/>
                <w:kern w:val="2"/>
                <w:sz w:val="21"/>
                <w:szCs w:val="21"/>
                <w:highlight w:val="none"/>
                <w:lang w:val="en-US" w:eastAsia="zh-CN" w:bidi="ar-SA"/>
              </w:rPr>
              <w:t xml:space="preserve"> 月 </w:t>
            </w:r>
            <w:r>
              <w:rPr>
                <w:rFonts w:hint="eastAsia" w:ascii="宋体" w:hAnsi="Times New Roman" w:eastAsia="宋体" w:cs="宋体"/>
                <w:color w:val="auto"/>
                <w:kern w:val="2"/>
                <w:sz w:val="21"/>
                <w:szCs w:val="21"/>
                <w:highlight w:val="none"/>
                <w:u w:val="single"/>
                <w:lang w:val="en-US" w:eastAsia="zh-CN" w:bidi="ar-SA"/>
              </w:rPr>
              <w:t>11</w:t>
            </w:r>
            <w:r>
              <w:rPr>
                <w:rFonts w:hint="eastAsia" w:ascii="宋体" w:hAnsi="Times New Roman" w:eastAsia="宋体" w:cs="宋体"/>
                <w:color w:val="auto"/>
                <w:kern w:val="2"/>
                <w:sz w:val="21"/>
                <w:szCs w:val="21"/>
                <w:highlight w:val="none"/>
                <w:lang w:val="en-US" w:eastAsia="zh-CN" w:bidi="ar-SA"/>
              </w:rPr>
              <w:t xml:space="preserve"> 日至</w:t>
            </w:r>
            <w:r>
              <w:rPr>
                <w:rFonts w:hint="eastAsia" w:ascii="宋体" w:hAnsi="Times New Roman" w:eastAsia="宋体" w:cs="宋体"/>
                <w:color w:val="auto"/>
                <w:kern w:val="2"/>
                <w:sz w:val="21"/>
                <w:szCs w:val="21"/>
                <w:highlight w:val="none"/>
                <w:u w:val="single"/>
                <w:lang w:val="en-US" w:eastAsia="zh-CN" w:bidi="ar-SA"/>
              </w:rPr>
              <w:t>202</w:t>
            </w:r>
            <w:r>
              <w:rPr>
                <w:rFonts w:hint="eastAsia" w:ascii="宋体" w:hAnsi="Times New Roman" w:cs="宋体"/>
                <w:color w:val="auto"/>
                <w:kern w:val="2"/>
                <w:sz w:val="21"/>
                <w:szCs w:val="21"/>
                <w:highlight w:val="none"/>
                <w:u w:val="single"/>
                <w:lang w:val="en-US" w:eastAsia="zh-CN" w:bidi="ar-SA"/>
              </w:rPr>
              <w:t>6</w:t>
            </w:r>
            <w:r>
              <w:rPr>
                <w:rFonts w:hint="eastAsia" w:ascii="宋体" w:hAnsi="Times New Roman" w:eastAsia="宋体" w:cs="宋体"/>
                <w:color w:val="auto"/>
                <w:kern w:val="2"/>
                <w:sz w:val="21"/>
                <w:szCs w:val="21"/>
                <w:highlight w:val="none"/>
                <w:lang w:val="en-US" w:eastAsia="zh-CN" w:bidi="ar-SA"/>
              </w:rPr>
              <w:t>年</w:t>
            </w:r>
            <w:r>
              <w:rPr>
                <w:rFonts w:hint="eastAsia" w:ascii="宋体" w:hAnsi="Times New Roman" w:eastAsia="宋体" w:cs="宋体"/>
                <w:color w:val="auto"/>
                <w:kern w:val="2"/>
                <w:sz w:val="21"/>
                <w:szCs w:val="21"/>
                <w:highlight w:val="none"/>
                <w:u w:val="single"/>
                <w:lang w:val="en-US" w:eastAsia="zh-CN" w:bidi="ar-SA"/>
              </w:rPr>
              <w:t xml:space="preserve"> 1</w:t>
            </w:r>
            <w:r>
              <w:rPr>
                <w:rFonts w:hint="eastAsia" w:ascii="宋体" w:hAnsi="Times New Roman" w:eastAsia="宋体" w:cs="宋体"/>
                <w:color w:val="auto"/>
                <w:kern w:val="2"/>
                <w:sz w:val="21"/>
                <w:szCs w:val="21"/>
                <w:highlight w:val="none"/>
                <w:lang w:val="en-US" w:eastAsia="zh-CN" w:bidi="ar-SA"/>
              </w:rPr>
              <w:t xml:space="preserve">月 </w:t>
            </w:r>
            <w:r>
              <w:rPr>
                <w:rFonts w:hint="eastAsia" w:ascii="宋体" w:hAnsi="Times New Roman" w:eastAsia="宋体" w:cs="宋体"/>
                <w:color w:val="auto"/>
                <w:kern w:val="2"/>
                <w:sz w:val="21"/>
                <w:szCs w:val="21"/>
                <w:highlight w:val="none"/>
                <w:u w:val="single"/>
                <w:lang w:val="en-US" w:eastAsia="zh-CN" w:bidi="ar-SA"/>
              </w:rPr>
              <w:t>10</w:t>
            </w:r>
            <w:r>
              <w:rPr>
                <w:rFonts w:hint="eastAsia" w:ascii="宋体" w:hAnsi="Times New Roman" w:eastAsia="宋体" w:cs="宋体"/>
                <w:color w:val="auto"/>
                <w:kern w:val="2"/>
                <w:sz w:val="21"/>
                <w:szCs w:val="21"/>
                <w:highlight w:val="none"/>
                <w:lang w:val="en-US" w:eastAsia="zh-CN" w:bidi="ar-SA"/>
              </w:rPr>
              <w:t>日（起始时间以签订服务合同之日算起）。</w:t>
            </w:r>
          </w:p>
          <w:p w14:paraId="3F42D398">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asciiTheme="minorEastAsia" w:hAnsiTheme="minorEastAsia" w:eastAsiaTheme="minorEastAsia"/>
                <w:b/>
                <w:color w:val="auto"/>
                <w:sz w:val="22"/>
                <w:szCs w:val="28"/>
                <w:highlight w:val="none"/>
              </w:rPr>
            </w:pPr>
            <w:r>
              <w:rPr>
                <w:rFonts w:hint="eastAsia" w:ascii="宋体" w:hAnsi="Times New Roman" w:cs="宋体"/>
                <w:b/>
                <w:color w:val="auto"/>
                <w:highlight w:val="none"/>
              </w:rPr>
              <w:t>▲</w:t>
            </w:r>
            <w:r>
              <w:rPr>
                <w:rFonts w:hint="eastAsia" w:ascii="宋体" w:hAnsi="Times New Roman" w:cs="宋体"/>
                <w:b/>
                <w:color w:val="auto"/>
                <w:highlight w:val="none"/>
                <w:lang w:eastAsia="zh-CN"/>
              </w:rPr>
              <w:t>（</w:t>
            </w:r>
            <w:r>
              <w:rPr>
                <w:rFonts w:hint="eastAsia" w:ascii="宋体" w:hAnsi="Times New Roman" w:cs="宋体"/>
                <w:b/>
                <w:color w:val="auto"/>
                <w:highlight w:val="none"/>
                <w:lang w:val="en-US" w:eastAsia="zh-CN"/>
              </w:rPr>
              <w:t>四</w:t>
            </w:r>
            <w:r>
              <w:rPr>
                <w:rFonts w:hint="eastAsia" w:ascii="宋体" w:hAnsi="Times New Roman" w:cs="宋体"/>
                <w:b/>
                <w:color w:val="auto"/>
                <w:highlight w:val="none"/>
                <w:lang w:eastAsia="zh-CN"/>
              </w:rPr>
              <w:t>）</w:t>
            </w:r>
            <w:r>
              <w:rPr>
                <w:rFonts w:hint="eastAsia" w:asciiTheme="minorEastAsia" w:hAnsiTheme="minorEastAsia" w:eastAsiaTheme="minorEastAsia"/>
                <w:b/>
                <w:color w:val="auto"/>
                <w:sz w:val="22"/>
                <w:szCs w:val="28"/>
                <w:highlight w:val="none"/>
              </w:rPr>
              <w:t>防治频次：</w:t>
            </w:r>
          </w:p>
          <w:p w14:paraId="1F848655">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eastAsia="宋体" w:cs="宋体"/>
                <w:color w:val="auto"/>
                <w:kern w:val="2"/>
                <w:sz w:val="21"/>
                <w:szCs w:val="21"/>
                <w:highlight w:val="none"/>
                <w:lang w:val="en-US" w:eastAsia="zh-CN" w:bidi="ar-SA"/>
              </w:rPr>
              <w:t>灭红火蚁、臭虫、隐翅虫：每月全面排查进行1次喷药消杀，发现虫情应随叫随到。</w:t>
            </w:r>
          </w:p>
          <w:p w14:paraId="1CA0CA60">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asciiTheme="minorEastAsia" w:hAnsiTheme="minorEastAsia" w:eastAsiaTheme="minorEastAsia"/>
                <w:color w:val="auto"/>
                <w:sz w:val="22"/>
                <w:szCs w:val="28"/>
                <w:highlight w:val="none"/>
              </w:rPr>
            </w:pPr>
            <w:r>
              <w:rPr>
                <w:rFonts w:hint="eastAsia" w:asciiTheme="minorEastAsia" w:hAnsiTheme="minorEastAsia" w:eastAsiaTheme="minorEastAsia"/>
                <w:b/>
                <w:bCs/>
                <w:color w:val="auto"/>
                <w:sz w:val="22"/>
                <w:highlight w:val="none"/>
                <w:lang w:eastAsia="zh-CN"/>
              </w:rPr>
              <w:t>（</w:t>
            </w:r>
            <w:r>
              <w:rPr>
                <w:rFonts w:hint="eastAsia" w:asciiTheme="minorEastAsia" w:hAnsiTheme="minorEastAsia" w:eastAsiaTheme="minorEastAsia"/>
                <w:b/>
                <w:bCs/>
                <w:color w:val="auto"/>
                <w:sz w:val="22"/>
                <w:highlight w:val="none"/>
                <w:lang w:val="en-US" w:eastAsia="zh-CN"/>
              </w:rPr>
              <w:t>五</w:t>
            </w:r>
            <w:r>
              <w:rPr>
                <w:rFonts w:hint="eastAsia" w:asciiTheme="minorEastAsia" w:hAnsiTheme="minorEastAsia" w:eastAsiaTheme="minorEastAsia"/>
                <w:b/>
                <w:bCs/>
                <w:color w:val="auto"/>
                <w:sz w:val="22"/>
                <w:highlight w:val="none"/>
                <w:lang w:eastAsia="zh-CN"/>
              </w:rPr>
              <w:t>）</w:t>
            </w:r>
            <w:r>
              <w:rPr>
                <w:rFonts w:hint="eastAsia" w:asciiTheme="minorEastAsia" w:hAnsiTheme="minorEastAsia" w:eastAsiaTheme="minorEastAsia"/>
                <w:b/>
                <w:bCs/>
                <w:color w:val="auto"/>
                <w:sz w:val="22"/>
                <w:highlight w:val="none"/>
              </w:rPr>
              <w:t>防治措施</w:t>
            </w:r>
          </w:p>
          <w:p w14:paraId="416546EC">
            <w:pPr>
              <w:keepNext w:val="0"/>
              <w:keepLines w:val="0"/>
              <w:pageBreakBefore w:val="0"/>
              <w:widowControl w:val="0"/>
              <w:kinsoku/>
              <w:wordWrap/>
              <w:overflowPunct/>
              <w:topLinePunct w:val="0"/>
              <w:autoSpaceDE/>
              <w:autoSpaceDN/>
              <w:bidi w:val="0"/>
              <w:adjustRightInd/>
              <w:snapToGrid/>
              <w:spacing w:line="340" w:lineRule="exact"/>
              <w:ind w:right="0" w:rightChars="0"/>
              <w:textAlignment w:val="auto"/>
              <w:outlineLvl w:val="9"/>
              <w:rPr>
                <w:b/>
                <w:bCs/>
                <w:color w:val="auto"/>
                <w:sz w:val="22"/>
                <w:szCs w:val="28"/>
                <w:highlight w:val="none"/>
              </w:rPr>
            </w:pPr>
            <w:r>
              <w:rPr>
                <w:rFonts w:hint="eastAsia"/>
                <w:b/>
                <w:bCs/>
                <w:color w:val="auto"/>
                <w:sz w:val="22"/>
                <w:szCs w:val="28"/>
                <w:highlight w:val="none"/>
                <w:lang w:val="en-US" w:eastAsia="zh-CN"/>
              </w:rPr>
              <w:t>1.</w:t>
            </w:r>
            <w:r>
              <w:rPr>
                <w:rFonts w:hint="eastAsia"/>
                <w:b/>
                <w:bCs/>
                <w:color w:val="auto"/>
                <w:sz w:val="22"/>
                <w:szCs w:val="28"/>
                <w:highlight w:val="none"/>
              </w:rPr>
              <w:t>环境</w:t>
            </w:r>
            <w:r>
              <w:rPr>
                <w:rFonts w:hint="eastAsia"/>
                <w:b/>
                <w:bCs/>
                <w:color w:val="auto"/>
                <w:sz w:val="22"/>
                <w:szCs w:val="28"/>
                <w:highlight w:val="none"/>
                <w:lang w:val="en-US" w:eastAsia="zh-CN"/>
              </w:rPr>
              <w:t>防治</w:t>
            </w:r>
            <w:r>
              <w:rPr>
                <w:rFonts w:hint="eastAsia"/>
                <w:b/>
                <w:bCs/>
                <w:color w:val="auto"/>
                <w:sz w:val="22"/>
                <w:szCs w:val="28"/>
                <w:highlight w:val="none"/>
              </w:rPr>
              <w:t>（</w:t>
            </w:r>
            <w:r>
              <w:rPr>
                <w:rFonts w:hint="eastAsia"/>
                <w:b/>
                <w:bCs/>
                <w:color w:val="auto"/>
                <w:sz w:val="22"/>
                <w:szCs w:val="28"/>
                <w:highlight w:val="none"/>
                <w:lang w:val="en-US" w:eastAsia="zh-CN"/>
              </w:rPr>
              <w:t>甲</w:t>
            </w:r>
            <w:r>
              <w:rPr>
                <w:rFonts w:hint="eastAsia"/>
                <w:b/>
                <w:bCs/>
                <w:color w:val="auto"/>
                <w:sz w:val="22"/>
                <w:szCs w:val="28"/>
                <w:highlight w:val="none"/>
              </w:rPr>
              <w:t>方负责）</w:t>
            </w:r>
          </w:p>
          <w:p w14:paraId="1F498AE7">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（1）</w:t>
            </w:r>
            <w:r>
              <w:rPr>
                <w:rFonts w:hint="eastAsia" w:ascii="宋体" w:hAnsi="Times New Roman" w:eastAsia="宋体" w:cs="宋体"/>
                <w:color w:val="auto"/>
                <w:kern w:val="2"/>
                <w:sz w:val="21"/>
                <w:szCs w:val="21"/>
                <w:highlight w:val="none"/>
                <w:lang w:val="en-US" w:eastAsia="zh-CN" w:bidi="ar-SA"/>
              </w:rPr>
              <w:t>搞好校园环境卫生，生活垃圾日产日清。</w:t>
            </w:r>
          </w:p>
          <w:p w14:paraId="3A42FF47">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（2）</w:t>
            </w:r>
            <w:r>
              <w:rPr>
                <w:rFonts w:hint="eastAsia" w:ascii="宋体" w:hAnsi="Times New Roman" w:eastAsia="宋体" w:cs="宋体"/>
                <w:color w:val="auto"/>
                <w:kern w:val="2"/>
                <w:sz w:val="21"/>
                <w:szCs w:val="21"/>
                <w:highlight w:val="none"/>
                <w:lang w:val="en-US" w:eastAsia="zh-CN" w:bidi="ar-SA"/>
              </w:rPr>
              <w:t>定期清理建筑物周边杂物，减少害虫孳生。</w:t>
            </w:r>
          </w:p>
          <w:p w14:paraId="2B031C2C">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（3）</w:t>
            </w:r>
            <w:r>
              <w:rPr>
                <w:rFonts w:hint="eastAsia" w:ascii="宋体" w:hAnsi="Times New Roman" w:eastAsia="宋体" w:cs="宋体"/>
                <w:color w:val="auto"/>
                <w:kern w:val="2"/>
                <w:sz w:val="21"/>
                <w:szCs w:val="21"/>
                <w:highlight w:val="none"/>
                <w:lang w:val="en-US" w:eastAsia="zh-CN" w:bidi="ar-SA"/>
              </w:rPr>
              <w:t>绿化植物、草坪定期整形修剪，去除过密枝、枯枝、病虫枝，减少害虫孳生地。</w:t>
            </w:r>
          </w:p>
          <w:p w14:paraId="1EE79C34">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（4）</w:t>
            </w:r>
            <w:r>
              <w:rPr>
                <w:rFonts w:hint="eastAsia" w:ascii="宋体" w:hAnsi="Times New Roman" w:eastAsia="宋体" w:cs="宋体"/>
                <w:color w:val="auto"/>
                <w:kern w:val="2"/>
                <w:sz w:val="21"/>
                <w:szCs w:val="21"/>
                <w:highlight w:val="none"/>
                <w:lang w:val="en-US" w:eastAsia="zh-CN" w:bidi="ar-SA"/>
              </w:rPr>
              <w:t>及时清理枯枝烂叶。</w:t>
            </w:r>
          </w:p>
          <w:p w14:paraId="6236F135">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（5）</w:t>
            </w:r>
            <w:r>
              <w:rPr>
                <w:rFonts w:hint="eastAsia" w:ascii="宋体" w:hAnsi="Times New Roman" w:eastAsia="宋体" w:cs="宋体"/>
                <w:color w:val="auto"/>
                <w:kern w:val="2"/>
                <w:sz w:val="21"/>
                <w:szCs w:val="21"/>
                <w:highlight w:val="none"/>
                <w:lang w:val="en-US" w:eastAsia="zh-CN" w:bidi="ar-SA"/>
              </w:rPr>
              <w:t>房间尽可能安装防虫纱窗，避免害虫飞入室内。</w:t>
            </w:r>
          </w:p>
          <w:p w14:paraId="224D92BD">
            <w:pPr>
              <w:keepNext w:val="0"/>
              <w:keepLines w:val="0"/>
              <w:pageBreakBefore w:val="0"/>
              <w:widowControl w:val="0"/>
              <w:kinsoku/>
              <w:wordWrap/>
              <w:overflowPunct/>
              <w:topLinePunct w:val="0"/>
              <w:autoSpaceDE/>
              <w:autoSpaceDN/>
              <w:bidi w:val="0"/>
              <w:adjustRightInd/>
              <w:snapToGrid/>
              <w:spacing w:line="340" w:lineRule="exact"/>
              <w:ind w:right="0" w:rightChars="0"/>
              <w:textAlignment w:val="auto"/>
              <w:outlineLvl w:val="9"/>
              <w:rPr>
                <w:b/>
                <w:bCs/>
                <w:color w:val="auto"/>
                <w:sz w:val="22"/>
                <w:szCs w:val="28"/>
                <w:highlight w:val="none"/>
              </w:rPr>
            </w:pPr>
            <w:r>
              <w:rPr>
                <w:rFonts w:hint="eastAsia"/>
                <w:b/>
                <w:bCs/>
                <w:color w:val="auto"/>
                <w:sz w:val="22"/>
                <w:szCs w:val="28"/>
                <w:highlight w:val="none"/>
                <w:lang w:val="en-US" w:eastAsia="zh-CN"/>
              </w:rPr>
              <w:t>2.</w:t>
            </w:r>
            <w:r>
              <w:rPr>
                <w:rFonts w:hint="eastAsia"/>
                <w:b/>
                <w:bCs/>
                <w:color w:val="auto"/>
                <w:sz w:val="22"/>
                <w:szCs w:val="28"/>
                <w:highlight w:val="none"/>
              </w:rPr>
              <w:t>化学</w:t>
            </w:r>
            <w:r>
              <w:rPr>
                <w:rFonts w:hint="eastAsia"/>
                <w:b/>
                <w:bCs/>
                <w:color w:val="auto"/>
                <w:sz w:val="22"/>
                <w:szCs w:val="28"/>
                <w:highlight w:val="none"/>
                <w:lang w:val="en-US" w:eastAsia="zh-CN"/>
              </w:rPr>
              <w:t>防治</w:t>
            </w:r>
          </w:p>
          <w:p w14:paraId="2473686F">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（1）</w:t>
            </w:r>
            <w:r>
              <w:rPr>
                <w:rFonts w:hint="eastAsia" w:ascii="宋体" w:hAnsi="Times New Roman" w:eastAsia="宋体" w:cs="宋体"/>
                <w:color w:val="auto"/>
                <w:kern w:val="2"/>
                <w:sz w:val="21"/>
                <w:szCs w:val="21"/>
                <w:highlight w:val="none"/>
                <w:lang w:val="en-US" w:eastAsia="zh-CN" w:bidi="ar-SA"/>
              </w:rPr>
              <w:t>全面检查室内室外害虫孳生源、巢穴或栖息地，了解害虫的种类，做好记录并贴好标签，确定防制的重点区域，根据环境的特点，科学的制定防制的方案。</w:t>
            </w:r>
          </w:p>
          <w:p w14:paraId="1227F85F">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（2）</w:t>
            </w:r>
            <w:r>
              <w:rPr>
                <w:rFonts w:hint="eastAsia" w:ascii="宋体" w:hAnsi="Times New Roman" w:eastAsia="宋体" w:cs="宋体"/>
                <w:color w:val="auto"/>
                <w:kern w:val="2"/>
                <w:sz w:val="21"/>
                <w:szCs w:val="21"/>
                <w:highlight w:val="none"/>
                <w:lang w:val="en-US" w:eastAsia="zh-CN" w:bidi="ar-SA"/>
              </w:rPr>
              <w:t>根据现场的虫情统计，做好使用药品、器械的准备工作，组织有专业资质的人员，开展一系列的消杀防治工作。</w:t>
            </w:r>
          </w:p>
          <w:p w14:paraId="6F675766">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（3）</w:t>
            </w:r>
            <w:r>
              <w:rPr>
                <w:rFonts w:hint="eastAsia" w:ascii="宋体" w:hAnsi="Times New Roman" w:eastAsia="宋体" w:cs="宋体"/>
                <w:color w:val="auto"/>
                <w:kern w:val="2"/>
                <w:sz w:val="21"/>
                <w:szCs w:val="21"/>
                <w:highlight w:val="none"/>
                <w:lang w:val="en-US" w:eastAsia="zh-CN" w:bidi="ar-SA"/>
              </w:rPr>
              <w:t>施工现场，做好安全防范宣传工作，避免无关人员，进入消杀作业现场。</w:t>
            </w:r>
          </w:p>
          <w:p w14:paraId="62050B0C">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（4）</w:t>
            </w:r>
            <w:r>
              <w:rPr>
                <w:rFonts w:hint="eastAsia" w:ascii="宋体" w:hAnsi="Times New Roman" w:eastAsia="宋体" w:cs="宋体"/>
                <w:color w:val="auto"/>
                <w:kern w:val="2"/>
                <w:sz w:val="21"/>
                <w:szCs w:val="21"/>
                <w:highlight w:val="none"/>
                <w:lang w:val="en-US" w:eastAsia="zh-CN" w:bidi="ar-SA"/>
              </w:rPr>
              <w:t>遵守学院的规章制度，做到文明施工、安全施工。</w:t>
            </w:r>
          </w:p>
          <w:p w14:paraId="1284D1B5">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（5）</w:t>
            </w:r>
            <w:r>
              <w:rPr>
                <w:rFonts w:hint="eastAsia" w:ascii="宋体" w:hAnsi="Times New Roman" w:eastAsia="宋体" w:cs="宋体"/>
                <w:color w:val="auto"/>
                <w:kern w:val="2"/>
                <w:sz w:val="21"/>
                <w:szCs w:val="21"/>
                <w:highlight w:val="none"/>
                <w:lang w:val="en-US" w:eastAsia="zh-CN" w:bidi="ar-SA"/>
              </w:rPr>
              <w:t>所用药品均符合国家允许并由爱卫办推荐使用的卫生级杀虫剂，符合高效低毒，对靶标害虫高效，对人畜安全的具有三证的合格产品。</w:t>
            </w:r>
          </w:p>
          <w:p w14:paraId="3E20B19B">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（6）</w:t>
            </w:r>
            <w:r>
              <w:rPr>
                <w:rFonts w:hint="eastAsia" w:ascii="宋体" w:hAnsi="Times New Roman" w:eastAsia="宋体" w:cs="宋体"/>
                <w:color w:val="auto"/>
                <w:kern w:val="2"/>
                <w:sz w:val="21"/>
                <w:szCs w:val="21"/>
                <w:highlight w:val="none"/>
                <w:lang w:val="en-US" w:eastAsia="zh-CN" w:bidi="ar-SA"/>
              </w:rPr>
              <w:t>作业完成后，要做好警示标识，避免靠近或触摸施药区域。</w:t>
            </w:r>
          </w:p>
          <w:p w14:paraId="1E925221">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（7）</w:t>
            </w:r>
            <w:r>
              <w:rPr>
                <w:rFonts w:hint="eastAsia" w:ascii="宋体" w:hAnsi="Times New Roman" w:eastAsia="宋体" w:cs="宋体"/>
                <w:color w:val="auto"/>
                <w:kern w:val="2"/>
                <w:sz w:val="21"/>
                <w:szCs w:val="21"/>
                <w:highlight w:val="none"/>
                <w:lang w:val="en-US" w:eastAsia="zh-CN" w:bidi="ar-SA"/>
              </w:rPr>
              <w:t>作业一周后，要进行效果检查评估，并进行查遗补漏，巩固消杀效果。</w:t>
            </w:r>
          </w:p>
          <w:p w14:paraId="6DE01370">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cs="宋体"/>
                <w:color w:val="auto"/>
                <w:kern w:val="2"/>
                <w:sz w:val="21"/>
                <w:szCs w:val="21"/>
                <w:highlight w:val="none"/>
                <w:lang w:val="en-US" w:eastAsia="zh-CN" w:bidi="ar-SA"/>
              </w:rPr>
              <w:t>（8）</w:t>
            </w:r>
            <w:r>
              <w:rPr>
                <w:rFonts w:hint="eastAsia" w:ascii="宋体" w:hAnsi="Times New Roman" w:eastAsia="宋体" w:cs="宋体"/>
                <w:color w:val="auto"/>
                <w:kern w:val="2"/>
                <w:sz w:val="21"/>
                <w:szCs w:val="21"/>
                <w:highlight w:val="none"/>
                <w:lang w:val="en-US" w:eastAsia="zh-CN" w:bidi="ar-SA"/>
              </w:rPr>
              <w:t>每月定期消杀一次，减少害虫孳生。</w:t>
            </w:r>
          </w:p>
          <w:p w14:paraId="26789248">
            <w:pPr>
              <w:keepNext w:val="0"/>
              <w:keepLines w:val="0"/>
              <w:pageBreakBefore w:val="0"/>
              <w:widowControl w:val="0"/>
              <w:kinsoku/>
              <w:wordWrap/>
              <w:overflowPunct/>
              <w:topLinePunct w:val="0"/>
              <w:autoSpaceDE/>
              <w:autoSpaceDN/>
              <w:bidi w:val="0"/>
              <w:adjustRightInd/>
              <w:snapToGrid/>
              <w:spacing w:line="340" w:lineRule="exact"/>
              <w:ind w:right="0" w:rightChars="0"/>
              <w:textAlignment w:val="auto"/>
              <w:outlineLvl w:val="9"/>
              <w:rPr>
                <w:color w:val="auto"/>
                <w:sz w:val="22"/>
                <w:szCs w:val="28"/>
                <w:highlight w:val="none"/>
              </w:rPr>
            </w:pPr>
            <w:r>
              <w:rPr>
                <w:rFonts w:hint="eastAsia" w:asciiTheme="minorEastAsia" w:hAnsiTheme="minorEastAsia" w:eastAsiaTheme="minorEastAsia"/>
                <w:b/>
                <w:color w:val="auto"/>
                <w:sz w:val="22"/>
                <w:szCs w:val="28"/>
                <w:highlight w:val="none"/>
                <w:lang w:val="en-US" w:eastAsia="zh-CN"/>
              </w:rPr>
              <w:t>3.</w:t>
            </w:r>
            <w:r>
              <w:rPr>
                <w:rFonts w:hint="eastAsia" w:asciiTheme="minorEastAsia" w:hAnsiTheme="minorEastAsia" w:eastAsiaTheme="minorEastAsia"/>
                <w:b/>
                <w:color w:val="auto"/>
                <w:sz w:val="22"/>
                <w:szCs w:val="28"/>
                <w:highlight w:val="none"/>
              </w:rPr>
              <w:t>防治标准：</w:t>
            </w:r>
            <w:r>
              <w:rPr>
                <w:rFonts w:hint="eastAsia" w:ascii="宋体" w:hAnsi="Times New Roman" w:eastAsia="宋体" w:cs="宋体"/>
                <w:color w:val="auto"/>
                <w:kern w:val="2"/>
                <w:sz w:val="21"/>
                <w:szCs w:val="21"/>
                <w:highlight w:val="none"/>
                <w:lang w:val="en-US" w:eastAsia="zh-CN" w:bidi="ar-SA"/>
              </w:rPr>
              <w:t>达到检疫的标准，发现一处灭治一处，避免出现害虫泛滥成灾。</w:t>
            </w:r>
          </w:p>
          <w:p w14:paraId="1623A52B">
            <w:pPr>
              <w:keepNext w:val="0"/>
              <w:keepLines w:val="0"/>
              <w:pageBreakBefore w:val="0"/>
              <w:widowControl w:val="0"/>
              <w:kinsoku/>
              <w:wordWrap/>
              <w:overflowPunct/>
              <w:topLinePunct w:val="0"/>
              <w:autoSpaceDE/>
              <w:autoSpaceDN/>
              <w:bidi w:val="0"/>
              <w:adjustRightInd/>
              <w:snapToGrid/>
              <w:spacing w:line="340" w:lineRule="exact"/>
              <w:ind w:right="0" w:rightChars="0"/>
              <w:textAlignment w:val="auto"/>
              <w:outlineLvl w:val="9"/>
              <w:rPr>
                <w:b/>
                <w:color w:val="auto"/>
                <w:sz w:val="22"/>
                <w:szCs w:val="28"/>
                <w:highlight w:val="none"/>
              </w:rPr>
            </w:pPr>
            <w:r>
              <w:rPr>
                <w:rFonts w:hint="eastAsia"/>
                <w:b/>
                <w:color w:val="auto"/>
                <w:sz w:val="22"/>
                <w:szCs w:val="28"/>
                <w:highlight w:val="none"/>
                <w:lang w:eastAsia="zh-CN"/>
              </w:rPr>
              <w:t>（</w:t>
            </w:r>
            <w:r>
              <w:rPr>
                <w:rFonts w:hint="eastAsia"/>
                <w:b/>
                <w:color w:val="auto"/>
                <w:sz w:val="22"/>
                <w:szCs w:val="28"/>
                <w:highlight w:val="none"/>
                <w:lang w:val="en-US" w:eastAsia="zh-CN"/>
              </w:rPr>
              <w:t>六</w:t>
            </w:r>
            <w:r>
              <w:rPr>
                <w:rFonts w:hint="eastAsia"/>
                <w:b/>
                <w:color w:val="auto"/>
                <w:sz w:val="22"/>
                <w:szCs w:val="28"/>
                <w:highlight w:val="none"/>
                <w:lang w:eastAsia="zh-CN"/>
              </w:rPr>
              <w:t>）</w:t>
            </w:r>
            <w:r>
              <w:rPr>
                <w:rFonts w:hint="eastAsia"/>
                <w:b/>
                <w:color w:val="auto"/>
                <w:sz w:val="22"/>
                <w:szCs w:val="28"/>
                <w:highlight w:val="none"/>
              </w:rPr>
              <w:t>服务频率</w:t>
            </w:r>
          </w:p>
          <w:p w14:paraId="03A7459D">
            <w:pPr>
              <w:keepNext w:val="0"/>
              <w:keepLines w:val="0"/>
              <w:pageBreakBefore w:val="0"/>
              <w:widowControl w:val="0"/>
              <w:kinsoku/>
              <w:wordWrap/>
              <w:overflowPunct/>
              <w:topLinePunct w:val="0"/>
              <w:autoSpaceDE/>
              <w:autoSpaceDN/>
              <w:bidi w:val="0"/>
              <w:adjustRightInd/>
              <w:snapToGrid/>
              <w:spacing w:line="340" w:lineRule="exact"/>
              <w:ind w:right="0" w:rightChars="0"/>
              <w:textAlignment w:val="auto"/>
              <w:outlineLvl w:val="9"/>
              <w:rPr>
                <w:rFonts w:hint="eastAsia" w:ascii="宋体" w:hAnsi="Times New Roman" w:eastAsia="宋体" w:cs="宋体"/>
                <w:color w:val="auto"/>
                <w:kern w:val="2"/>
                <w:sz w:val="21"/>
                <w:szCs w:val="21"/>
                <w:highlight w:val="none"/>
                <w:lang w:val="en-US" w:eastAsia="zh-CN" w:bidi="ar-SA"/>
              </w:rPr>
            </w:pPr>
            <w:r>
              <w:rPr>
                <w:rFonts w:hint="eastAsia" w:ascii="宋体" w:hAnsi="Times New Roman" w:eastAsia="宋体" w:cs="宋体"/>
                <w:color w:val="auto"/>
                <w:kern w:val="2"/>
                <w:sz w:val="21"/>
                <w:szCs w:val="21"/>
                <w:highlight w:val="none"/>
                <w:lang w:val="en-US" w:eastAsia="zh-CN" w:bidi="ar-SA"/>
              </w:rPr>
              <w:t>1.每月全面消杀1次。</w:t>
            </w:r>
          </w:p>
          <w:p w14:paraId="22964AD1">
            <w:pPr>
              <w:keepNext w:val="0"/>
              <w:keepLines w:val="0"/>
              <w:pageBreakBefore w:val="0"/>
              <w:widowControl w:val="0"/>
              <w:kinsoku/>
              <w:wordWrap/>
              <w:overflowPunct/>
              <w:topLinePunct w:val="0"/>
              <w:autoSpaceDE/>
              <w:autoSpaceDN/>
              <w:bidi w:val="0"/>
              <w:adjustRightInd/>
              <w:snapToGrid/>
              <w:spacing w:line="340" w:lineRule="exact"/>
              <w:ind w:right="0" w:rightChars="0"/>
              <w:textAlignment w:val="auto"/>
              <w:outlineLvl w:val="9"/>
              <w:rPr>
                <w:color w:val="auto"/>
                <w:sz w:val="22"/>
                <w:szCs w:val="28"/>
                <w:highlight w:val="none"/>
              </w:rPr>
            </w:pPr>
            <w:r>
              <w:rPr>
                <w:rFonts w:hint="eastAsia" w:ascii="宋体" w:hAnsi="Times New Roman" w:eastAsia="宋体" w:cs="宋体"/>
                <w:color w:val="auto"/>
                <w:kern w:val="2"/>
                <w:sz w:val="21"/>
                <w:szCs w:val="21"/>
                <w:highlight w:val="none"/>
                <w:lang w:val="en-US" w:eastAsia="zh-CN" w:bidi="ar-SA"/>
              </w:rPr>
              <w:t>2.如有突发虫情，可随叫随到，及时处理，降低危害风险系数。</w:t>
            </w:r>
          </w:p>
        </w:tc>
        <w:tc>
          <w:tcPr>
            <w:tcW w:w="708" w:type="dxa"/>
            <w:shd w:val="clear" w:color="auto" w:fill="auto"/>
            <w:vAlign w:val="center"/>
          </w:tcPr>
          <w:p w14:paraId="47F71774">
            <w:pPr>
              <w:widowControl/>
              <w:rPr>
                <w:rFonts w:ascii="宋体" w:hAnsi="宋体" w:cs="宋体"/>
                <w:kern w:val="0"/>
              </w:rPr>
            </w:pPr>
          </w:p>
        </w:tc>
        <w:tc>
          <w:tcPr>
            <w:tcW w:w="709" w:type="dxa"/>
            <w:shd w:val="clear" w:color="auto" w:fill="auto"/>
            <w:vAlign w:val="center"/>
          </w:tcPr>
          <w:p w14:paraId="2A437AAD">
            <w:pPr>
              <w:widowControl/>
              <w:rPr>
                <w:rFonts w:ascii="宋体" w:hAnsi="宋体" w:cs="宋体"/>
                <w:kern w:val="0"/>
              </w:rPr>
            </w:pPr>
          </w:p>
        </w:tc>
        <w:tc>
          <w:tcPr>
            <w:tcW w:w="992" w:type="dxa"/>
            <w:shd w:val="clear" w:color="auto" w:fill="auto"/>
            <w:vAlign w:val="center"/>
          </w:tcPr>
          <w:p w14:paraId="7121E2BA">
            <w:pPr>
              <w:widowControl/>
              <w:jc w:val="center"/>
              <w:rPr>
                <w:rFonts w:ascii="宋体" w:hAnsi="宋体" w:cs="宋体"/>
                <w:kern w:val="0"/>
              </w:rPr>
            </w:pPr>
          </w:p>
        </w:tc>
      </w:tr>
      <w:bookmarkEnd w:id="9"/>
    </w:tbl>
    <w:p w14:paraId="2E043D14">
      <w:pPr>
        <w:tabs>
          <w:tab w:val="left" w:pos="420"/>
          <w:tab w:val="left" w:pos="540"/>
          <w:tab w:val="left" w:pos="574"/>
        </w:tabs>
        <w:spacing w:line="360" w:lineRule="auto"/>
        <w:outlineLvl w:val="0"/>
        <w:rPr>
          <w:rFonts w:ascii="宋体" w:hAnsi="宋体" w:cs="宋体"/>
          <w:b/>
          <w:bCs/>
        </w:rPr>
      </w:pPr>
      <w:r>
        <w:rPr>
          <w:rFonts w:ascii="宋体" w:hAnsi="宋体" w:cs="宋体"/>
          <w:b/>
          <w:bCs/>
        </w:rPr>
        <w:t>五、</w:t>
      </w:r>
      <w:r>
        <w:rPr>
          <w:rFonts w:hint="eastAsia" w:ascii="宋体" w:hAnsi="宋体" w:cs="宋体"/>
          <w:b/>
          <w:bCs/>
        </w:rPr>
        <w:t>商务要求</w:t>
      </w:r>
    </w:p>
    <w:p w14:paraId="3D9F43D6">
      <w:pPr>
        <w:spacing w:line="560" w:lineRule="exact"/>
        <w:rPr>
          <w:rFonts w:hint="eastAsia" w:ascii="宋体" w:hAnsi="Times New Roman" w:eastAsia="宋体" w:cs="宋体"/>
          <w:kern w:val="2"/>
          <w:sz w:val="21"/>
          <w:szCs w:val="21"/>
          <w:highlight w:val="none"/>
          <w:lang w:val="en-US" w:eastAsia="zh-CN" w:bidi="ar-SA"/>
        </w:rPr>
      </w:pPr>
      <w:r>
        <w:rPr>
          <w:rFonts w:hint="eastAsia" w:ascii="宋体" w:hAnsi="Times New Roman" w:eastAsia="宋体" w:cs="宋体"/>
          <w:kern w:val="2"/>
          <w:sz w:val="21"/>
          <w:szCs w:val="21"/>
          <w:highlight w:val="none"/>
          <w:lang w:val="en-US" w:eastAsia="zh-CN" w:bidi="ar-SA"/>
        </w:rPr>
        <w:t xml:space="preserve">▲（一）合同签订期：自中标通知书发出之日起 </w:t>
      </w:r>
      <w:r>
        <w:rPr>
          <w:rFonts w:hint="eastAsia" w:ascii="宋体" w:hAnsi="Times New Roman" w:eastAsia="宋体" w:cs="宋体"/>
          <w:kern w:val="2"/>
          <w:sz w:val="21"/>
          <w:szCs w:val="21"/>
          <w:highlight w:val="none"/>
          <w:u w:val="single"/>
          <w:lang w:val="en-US" w:eastAsia="zh-CN" w:bidi="ar-SA"/>
        </w:rPr>
        <w:t>7</w:t>
      </w:r>
      <w:r>
        <w:rPr>
          <w:rFonts w:hint="eastAsia" w:ascii="宋体" w:hAnsi="Times New Roman" w:eastAsia="宋体" w:cs="宋体"/>
          <w:kern w:val="2"/>
          <w:sz w:val="21"/>
          <w:szCs w:val="21"/>
          <w:highlight w:val="none"/>
          <w:lang w:val="en-US" w:eastAsia="zh-CN" w:bidi="ar-SA"/>
        </w:rPr>
        <w:t>个工作日内。</w:t>
      </w:r>
    </w:p>
    <w:p w14:paraId="61B0F3CA">
      <w:pPr>
        <w:spacing w:line="560" w:lineRule="exact"/>
        <w:rPr>
          <w:rFonts w:hint="eastAsia" w:ascii="宋体" w:hAnsi="Times New Roman" w:eastAsia="宋体" w:cs="宋体"/>
          <w:kern w:val="2"/>
          <w:sz w:val="21"/>
          <w:szCs w:val="21"/>
          <w:highlight w:val="none"/>
          <w:lang w:val="en-US" w:eastAsia="zh-CN" w:bidi="ar-SA"/>
        </w:rPr>
      </w:pPr>
      <w:r>
        <w:rPr>
          <w:rFonts w:hint="eastAsia" w:ascii="宋体" w:hAnsi="Times New Roman" w:eastAsia="宋体" w:cs="宋体"/>
          <w:kern w:val="2"/>
          <w:sz w:val="21"/>
          <w:szCs w:val="21"/>
          <w:highlight w:val="none"/>
          <w:lang w:val="en-US" w:eastAsia="zh-CN" w:bidi="ar-SA"/>
        </w:rPr>
        <w:t>▲（二）服务期：自合同签订之日起</w:t>
      </w:r>
      <w:r>
        <w:rPr>
          <w:rFonts w:hint="eastAsia" w:ascii="宋体" w:hAnsi="Times New Roman" w:eastAsia="宋体" w:cs="宋体"/>
          <w:kern w:val="2"/>
          <w:sz w:val="21"/>
          <w:szCs w:val="21"/>
          <w:highlight w:val="none"/>
          <w:u w:val="single"/>
          <w:lang w:val="en-US" w:eastAsia="zh-CN" w:bidi="ar-SA"/>
        </w:rPr>
        <w:t xml:space="preserve"> 1</w:t>
      </w:r>
      <w:r>
        <w:rPr>
          <w:rFonts w:hint="eastAsia" w:ascii="宋体" w:hAnsi="Times New Roman" w:eastAsia="宋体" w:cs="宋体"/>
          <w:kern w:val="2"/>
          <w:sz w:val="21"/>
          <w:szCs w:val="21"/>
          <w:highlight w:val="none"/>
          <w:lang w:val="en-US" w:eastAsia="zh-CN" w:bidi="ar-SA"/>
        </w:rPr>
        <w:t>年。</w:t>
      </w:r>
    </w:p>
    <w:p w14:paraId="0CE967B5">
      <w:pPr>
        <w:spacing w:line="560" w:lineRule="exact"/>
        <w:rPr>
          <w:rFonts w:hint="eastAsia" w:ascii="宋体" w:hAnsi="Times New Roman" w:eastAsia="宋体" w:cs="宋体"/>
          <w:kern w:val="2"/>
          <w:sz w:val="21"/>
          <w:szCs w:val="21"/>
          <w:highlight w:val="none"/>
          <w:lang w:val="en-US" w:eastAsia="zh-CN" w:bidi="ar-SA"/>
        </w:rPr>
      </w:pPr>
      <w:r>
        <w:rPr>
          <w:rFonts w:hint="eastAsia" w:ascii="宋体" w:hAnsi="Times New Roman" w:eastAsia="宋体" w:cs="宋体"/>
          <w:kern w:val="2"/>
          <w:sz w:val="21"/>
          <w:szCs w:val="21"/>
          <w:highlight w:val="none"/>
          <w:lang w:val="en-US" w:eastAsia="zh-CN" w:bidi="ar-SA"/>
        </w:rPr>
        <w:t>（三）</w:t>
      </w:r>
      <w:r>
        <w:rPr>
          <w:rFonts w:hint="eastAsia" w:ascii="宋体" w:hAnsi="Times New Roman" w:cs="宋体"/>
          <w:kern w:val="2"/>
          <w:sz w:val="21"/>
          <w:szCs w:val="21"/>
          <w:highlight w:val="none"/>
          <w:lang w:val="en-US" w:eastAsia="zh-CN" w:bidi="ar-SA"/>
        </w:rPr>
        <w:t>服务</w:t>
      </w:r>
      <w:r>
        <w:rPr>
          <w:rFonts w:hint="eastAsia" w:ascii="宋体" w:hAnsi="Times New Roman" w:eastAsia="宋体" w:cs="宋体"/>
          <w:kern w:val="2"/>
          <w:sz w:val="21"/>
          <w:szCs w:val="21"/>
          <w:highlight w:val="none"/>
          <w:lang w:val="en-US" w:eastAsia="zh-CN" w:bidi="ar-SA"/>
        </w:rPr>
        <w:t>地点：采购人指定地点。</w:t>
      </w:r>
    </w:p>
    <w:p w14:paraId="4DB09C9C">
      <w:pPr>
        <w:spacing w:line="560" w:lineRule="exact"/>
        <w:rPr>
          <w:rFonts w:hint="eastAsia" w:ascii="宋体" w:hAnsi="Times New Roman" w:eastAsia="宋体" w:cs="宋体"/>
          <w:kern w:val="2"/>
          <w:sz w:val="21"/>
          <w:szCs w:val="21"/>
          <w:highlight w:val="none"/>
          <w:lang w:val="en-US" w:eastAsia="zh-CN" w:bidi="ar-SA"/>
        </w:rPr>
      </w:pPr>
      <w:r>
        <w:rPr>
          <w:rFonts w:hint="eastAsia" w:ascii="宋体" w:hAnsi="Times New Roman" w:eastAsia="宋体" w:cs="宋体"/>
          <w:kern w:val="2"/>
          <w:sz w:val="21"/>
          <w:szCs w:val="21"/>
          <w:highlight w:val="none"/>
          <w:lang w:val="en-US" w:eastAsia="zh-CN" w:bidi="ar-SA"/>
        </w:rPr>
        <w:t>（</w:t>
      </w:r>
      <w:r>
        <w:rPr>
          <w:rFonts w:hint="eastAsia" w:ascii="宋体" w:hAnsi="Times New Roman" w:cs="宋体"/>
          <w:kern w:val="2"/>
          <w:sz w:val="21"/>
          <w:szCs w:val="21"/>
          <w:highlight w:val="none"/>
          <w:lang w:val="en-US" w:eastAsia="zh-CN" w:bidi="ar-SA"/>
        </w:rPr>
        <w:t>四</w:t>
      </w:r>
      <w:r>
        <w:rPr>
          <w:rFonts w:hint="eastAsia" w:ascii="宋体" w:hAnsi="Times New Roman" w:eastAsia="宋体" w:cs="宋体"/>
          <w:kern w:val="2"/>
          <w:sz w:val="21"/>
          <w:szCs w:val="21"/>
          <w:highlight w:val="none"/>
          <w:lang w:val="en-US" w:eastAsia="zh-CN" w:bidi="ar-SA"/>
        </w:rPr>
        <w:t>）其他要求：</w:t>
      </w:r>
    </w:p>
    <w:p w14:paraId="68360D25">
      <w:pPr>
        <w:spacing w:line="560" w:lineRule="exact"/>
        <w:rPr>
          <w:rFonts w:hint="eastAsia" w:ascii="宋体" w:hAnsi="Times New Roman" w:eastAsia="宋体" w:cs="宋体"/>
          <w:kern w:val="2"/>
          <w:sz w:val="21"/>
          <w:szCs w:val="21"/>
          <w:highlight w:val="none"/>
          <w:lang w:val="en-US" w:eastAsia="zh-CN" w:bidi="ar-SA"/>
        </w:rPr>
      </w:pPr>
      <w:r>
        <w:rPr>
          <w:rFonts w:hint="eastAsia" w:ascii="宋体" w:hAnsi="Times New Roman" w:eastAsia="宋体" w:cs="宋体"/>
          <w:kern w:val="2"/>
          <w:sz w:val="21"/>
          <w:szCs w:val="21"/>
          <w:highlight w:val="none"/>
          <w:lang w:val="en-US" w:eastAsia="zh-CN" w:bidi="ar-SA"/>
        </w:rPr>
        <w:t>▲</w:t>
      </w:r>
      <w:r>
        <w:rPr>
          <w:rFonts w:hint="eastAsia" w:ascii="宋体" w:hAnsi="Times New Roman" w:eastAsia="宋体" w:cs="宋体"/>
          <w:kern w:val="2"/>
          <w:sz w:val="21"/>
          <w:szCs w:val="21"/>
          <w:highlight w:val="none"/>
          <w:lang w:val="en-US" w:eastAsia="zh-CN" w:bidi="ar-SA"/>
        </w:rPr>
        <w:t>1.投标报价为采购人指定地点的现场</w:t>
      </w:r>
      <w:r>
        <w:rPr>
          <w:rFonts w:hint="eastAsia" w:ascii="宋体" w:hAnsi="Times New Roman" w:cs="宋体"/>
          <w:kern w:val="2"/>
          <w:sz w:val="21"/>
          <w:szCs w:val="21"/>
          <w:highlight w:val="none"/>
          <w:lang w:val="en-US" w:eastAsia="zh-CN" w:bidi="ar-SA"/>
        </w:rPr>
        <w:t>服务</w:t>
      </w:r>
      <w:r>
        <w:rPr>
          <w:rFonts w:hint="eastAsia" w:ascii="宋体" w:hAnsi="Times New Roman" w:eastAsia="宋体" w:cs="宋体"/>
          <w:kern w:val="2"/>
          <w:sz w:val="21"/>
          <w:szCs w:val="21"/>
          <w:highlight w:val="none"/>
          <w:lang w:val="en-US" w:eastAsia="zh-CN" w:bidi="ar-SA"/>
        </w:rPr>
        <w:t>价，包括：</w:t>
      </w:r>
    </w:p>
    <w:p w14:paraId="3A438068">
      <w:pPr>
        <w:spacing w:line="560" w:lineRule="exact"/>
        <w:rPr>
          <w:rFonts w:hint="eastAsia" w:ascii="宋体" w:hAnsi="Times New Roman" w:eastAsia="宋体" w:cs="宋体"/>
          <w:kern w:val="2"/>
          <w:sz w:val="21"/>
          <w:szCs w:val="21"/>
          <w:highlight w:val="none"/>
          <w:lang w:val="en-US" w:eastAsia="zh-CN" w:bidi="ar-SA"/>
        </w:rPr>
      </w:pPr>
      <w:r>
        <w:rPr>
          <w:rFonts w:hint="eastAsia" w:ascii="宋体" w:hAnsi="Times New Roman" w:eastAsia="宋体" w:cs="宋体"/>
          <w:kern w:val="2"/>
          <w:sz w:val="21"/>
          <w:szCs w:val="21"/>
          <w:highlight w:val="none"/>
          <w:lang w:val="en-US" w:eastAsia="zh-CN" w:bidi="ar-SA"/>
        </w:rPr>
        <w:t>（1）服务及药物的价格；</w:t>
      </w:r>
    </w:p>
    <w:p w14:paraId="53A704F1">
      <w:pPr>
        <w:spacing w:line="560" w:lineRule="exac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（2）必要的保险费用和各项税金；</w:t>
      </w:r>
    </w:p>
    <w:p w14:paraId="5AB9F3B6">
      <w:pPr>
        <w:spacing w:line="560" w:lineRule="exac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（3）售后服务费、运输费、投药服务费、包器械、包服务、培训、技术支持、灭前灭后监测、病媒生物数据采集、包达标等全部费用。</w:t>
      </w:r>
    </w:p>
    <w:p w14:paraId="241981C5">
      <w:pPr>
        <w:spacing w:line="560" w:lineRule="exact"/>
        <w:rPr>
          <w:rFonts w:hint="eastAsia" w:ascii="宋体" w:hAnsi="Times New Roman" w:eastAsia="宋体" w:cs="宋体"/>
          <w:kern w:val="2"/>
          <w:sz w:val="21"/>
          <w:szCs w:val="21"/>
          <w:lang w:val="en-US" w:eastAsia="zh-CN" w:bidi="ar-SA"/>
        </w:rPr>
      </w:pPr>
      <w:r>
        <w:rPr>
          <w:rFonts w:hint="eastAsia" w:ascii="宋体" w:hAnsi="Times New Roman" w:eastAsia="宋体" w:cs="宋体"/>
          <w:kern w:val="2"/>
          <w:sz w:val="21"/>
          <w:szCs w:val="21"/>
          <w:lang w:val="en-US" w:eastAsia="zh-CN" w:bidi="ar-SA"/>
        </w:rPr>
        <w:t>（4）到现场验收的费用。</w:t>
      </w:r>
    </w:p>
    <w:p w14:paraId="6959FFFE">
      <w:pPr>
        <w:widowControl/>
        <w:tabs>
          <w:tab w:val="left" w:pos="424"/>
        </w:tabs>
        <w:spacing w:line="360" w:lineRule="auto"/>
        <w:jc w:val="left"/>
        <w:rPr>
          <w:rFonts w:ascii="宋体" w:hAnsi="Times New Roman" w:cs="宋体"/>
          <w:color w:val="auto"/>
          <w:highlight w:val="none"/>
        </w:rPr>
      </w:pPr>
      <w:r>
        <w:rPr>
          <w:rFonts w:hint="eastAsia" w:ascii="宋体" w:hAnsi="Times New Roman" w:cs="宋体"/>
          <w:color w:val="auto"/>
          <w:highlight w:val="none"/>
          <w:lang w:eastAsia="zh-CN"/>
        </w:rPr>
        <w:t>（</w:t>
      </w:r>
      <w:r>
        <w:rPr>
          <w:rFonts w:hint="eastAsia" w:ascii="宋体" w:hAnsi="Times New Roman" w:cs="宋体"/>
          <w:color w:val="auto"/>
          <w:highlight w:val="none"/>
          <w:lang w:val="en-US" w:eastAsia="zh-CN"/>
        </w:rPr>
        <w:t>5</w:t>
      </w:r>
      <w:r>
        <w:rPr>
          <w:rFonts w:hint="eastAsia" w:ascii="宋体" w:hAnsi="Times New Roman" w:cs="宋体"/>
          <w:color w:val="auto"/>
          <w:highlight w:val="none"/>
          <w:lang w:eastAsia="zh-CN"/>
        </w:rPr>
        <w:t>）</w:t>
      </w:r>
      <w:r>
        <w:rPr>
          <w:rFonts w:hint="eastAsia" w:ascii="宋体" w:hAnsi="Times New Roman" w:cs="宋体"/>
          <w:color w:val="auto"/>
          <w:highlight w:val="none"/>
        </w:rPr>
        <w:t>供应商</w:t>
      </w:r>
      <w:r>
        <w:rPr>
          <w:rFonts w:hint="eastAsia" w:ascii="宋体" w:hAnsi="Times New Roman" w:cs="宋体"/>
          <w:color w:val="auto"/>
          <w:highlight w:val="none"/>
        </w:rPr>
        <w:t>所提供</w:t>
      </w:r>
      <w:r>
        <w:rPr>
          <w:rFonts w:hint="eastAsia" w:ascii="宋体" w:hAnsi="Times New Roman" w:cs="宋体"/>
          <w:color w:val="auto"/>
          <w:highlight w:val="none"/>
          <w:lang w:val="en-US" w:eastAsia="zh-CN"/>
        </w:rPr>
        <w:t>的服务质量</w:t>
      </w:r>
      <w:r>
        <w:rPr>
          <w:rFonts w:hint="eastAsia" w:ascii="宋体" w:hAnsi="Times New Roman" w:cs="宋体"/>
          <w:color w:val="auto"/>
          <w:highlight w:val="none"/>
        </w:rPr>
        <w:t>不能低于询价文件所提出的要求。</w:t>
      </w:r>
    </w:p>
    <w:p w14:paraId="5A9F0C7B">
      <w:pPr>
        <w:widowControl/>
        <w:tabs>
          <w:tab w:val="left" w:pos="424"/>
        </w:tabs>
        <w:spacing w:line="360" w:lineRule="auto"/>
        <w:jc w:val="left"/>
        <w:rPr>
          <w:rFonts w:hint="eastAsia"/>
          <w:color w:val="auto"/>
          <w:highlight w:val="none"/>
          <w:lang w:val="en-US" w:eastAsia="zh-CN"/>
        </w:rPr>
      </w:pPr>
      <w:r>
        <w:rPr>
          <w:rFonts w:hint="eastAsia" w:ascii="宋体" w:hAnsi="Times New Roman" w:cs="宋体"/>
          <w:b w:val="0"/>
          <w:bCs/>
          <w:color w:val="auto"/>
          <w:highlight w:val="none"/>
          <w:lang w:eastAsia="zh-CN"/>
        </w:rPr>
        <w:t>（</w:t>
      </w:r>
      <w:r>
        <w:rPr>
          <w:rFonts w:hint="eastAsia" w:ascii="宋体" w:hAnsi="Times New Roman" w:cs="宋体"/>
          <w:b w:val="0"/>
          <w:bCs/>
          <w:color w:val="auto"/>
          <w:highlight w:val="none"/>
          <w:lang w:val="en-US" w:eastAsia="zh-CN"/>
        </w:rPr>
        <w:t>6</w:t>
      </w:r>
      <w:r>
        <w:rPr>
          <w:rFonts w:hint="eastAsia" w:ascii="宋体" w:hAnsi="Times New Roman" w:cs="宋体"/>
          <w:b w:val="0"/>
          <w:bCs/>
          <w:color w:val="auto"/>
          <w:highlight w:val="none"/>
          <w:lang w:eastAsia="zh-CN"/>
        </w:rPr>
        <w:t>）</w:t>
      </w:r>
      <w:r>
        <w:rPr>
          <w:rFonts w:hint="eastAsia"/>
          <w:color w:val="auto"/>
          <w:highlight w:val="none"/>
        </w:rPr>
        <w:t xml:space="preserve"> </w:t>
      </w:r>
      <w:r>
        <w:rPr>
          <w:rFonts w:hint="eastAsia" w:ascii="宋体" w:hAnsi="Times New Roman" w:cs="宋体"/>
          <w:color w:val="auto"/>
          <w:highlight w:val="none"/>
        </w:rPr>
        <w:t>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14:paraId="1031DC9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left"/>
        <w:textAlignment w:val="auto"/>
        <w:outlineLvl w:val="9"/>
        <w:rPr>
          <w:rFonts w:hint="eastAsia" w:ascii="宋体" w:hAnsi="Times New Roman" w:eastAsia="宋体" w:cs="宋体"/>
          <w:kern w:val="2"/>
          <w:sz w:val="21"/>
          <w:szCs w:val="21"/>
          <w:lang w:val="en-US" w:eastAsia="zh-CN" w:bidi="ar-SA"/>
        </w:rPr>
      </w:pPr>
      <w:r>
        <w:rPr>
          <w:rFonts w:hint="eastAsia" w:ascii="宋体" w:hAnsi="Times New Roman" w:eastAsia="宋体" w:cs="宋体"/>
          <w:color w:val="auto"/>
          <w:kern w:val="2"/>
          <w:sz w:val="21"/>
          <w:szCs w:val="21"/>
          <w:highlight w:val="none"/>
          <w:lang w:val="en-US" w:eastAsia="zh-CN" w:bidi="ar-SA"/>
        </w:rPr>
        <w:t>▲2.付款方</w:t>
      </w:r>
      <w:r>
        <w:rPr>
          <w:rFonts w:hint="eastAsia" w:ascii="宋体" w:hAnsi="Times New Roman" w:eastAsia="宋体" w:cs="宋体"/>
          <w:kern w:val="2"/>
          <w:sz w:val="21"/>
          <w:szCs w:val="21"/>
          <w:lang w:val="en-US" w:eastAsia="zh-CN" w:bidi="ar-SA"/>
        </w:rPr>
        <w:t>式：本项目无预付款，本项目无预付款，服务费用分两次进行支付:</w:t>
      </w:r>
    </w:p>
    <w:p w14:paraId="0CCB110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left"/>
        <w:textAlignment w:val="auto"/>
        <w:outlineLvl w:val="9"/>
        <w:rPr>
          <w:rFonts w:hint="eastAsia" w:ascii="宋体" w:hAnsi="Times New Roman" w:eastAsia="宋体" w:cs="宋体"/>
          <w:kern w:val="2"/>
          <w:sz w:val="21"/>
          <w:szCs w:val="21"/>
          <w:lang w:val="en-US" w:eastAsia="zh-CN" w:bidi="ar-SA"/>
        </w:rPr>
      </w:pPr>
      <w:r>
        <w:rPr>
          <w:rFonts w:hint="eastAsia" w:hAnsi="Times New Roman" w:cs="宋体"/>
          <w:kern w:val="2"/>
          <w:sz w:val="21"/>
          <w:szCs w:val="21"/>
          <w:lang w:val="en-US" w:eastAsia="zh-CN" w:bidi="ar-SA"/>
        </w:rPr>
        <w:t>（1）自合同签订之日起</w:t>
      </w:r>
      <w:r>
        <w:rPr>
          <w:rFonts w:hint="eastAsia" w:ascii="宋体" w:hAnsi="Times New Roman" w:eastAsia="宋体" w:cs="宋体"/>
          <w:kern w:val="2"/>
          <w:sz w:val="21"/>
          <w:szCs w:val="21"/>
          <w:lang w:val="en-US" w:eastAsia="zh-CN" w:bidi="ar-SA"/>
        </w:rPr>
        <w:t>过半年后15个工作日内，甲方收到乙方开具的发票后申请用款计划，待财政用款计划批复后，甲方以银行转账方式支付合同总款额的50%。</w:t>
      </w:r>
    </w:p>
    <w:p w14:paraId="7BF7AE30">
      <w:pPr>
        <w:pStyle w:val="3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jc w:val="left"/>
        <w:textAlignment w:val="auto"/>
        <w:outlineLvl w:val="9"/>
        <w:rPr>
          <w:rFonts w:hint="eastAsia" w:ascii="宋体" w:hAnsi="Times New Roman" w:eastAsia="宋体" w:cs="宋体"/>
          <w:kern w:val="2"/>
          <w:sz w:val="21"/>
          <w:szCs w:val="21"/>
          <w:lang w:val="en-US" w:eastAsia="zh-CN" w:bidi="ar-SA"/>
        </w:rPr>
      </w:pPr>
      <w:r>
        <w:rPr>
          <w:rFonts w:hint="eastAsia" w:hAnsi="Times New Roman" w:cs="宋体"/>
          <w:kern w:val="2"/>
          <w:sz w:val="21"/>
          <w:szCs w:val="21"/>
          <w:lang w:val="en-US" w:eastAsia="zh-CN" w:bidi="ar-SA"/>
        </w:rPr>
        <w:t>（2）</w:t>
      </w:r>
      <w:r>
        <w:rPr>
          <w:rFonts w:hint="eastAsia" w:ascii="宋体" w:hAnsi="Times New Roman" w:eastAsia="宋体" w:cs="宋体"/>
          <w:kern w:val="2"/>
          <w:sz w:val="21"/>
          <w:szCs w:val="21"/>
          <w:lang w:val="en-US" w:eastAsia="zh-CN" w:bidi="ar-SA"/>
        </w:rPr>
        <w:t>服务期满并验收合格即日起15个工作日内，甲方收到乙方开具的发票后申请用款计划，待财政用款计划批复后，甲方向乙方以银行转账方式支付合同余款。</w:t>
      </w:r>
    </w:p>
    <w:p w14:paraId="11BFF600"/>
    <w:p w14:paraId="04D304A6">
      <w:pPr>
        <w:snapToGrid w:val="0"/>
        <w:spacing w:line="360" w:lineRule="auto"/>
        <w:ind w:firstLine="420" w:firstLineChars="200"/>
        <w:rPr>
          <w:rFonts w:ascii="宋体" w:hAnsi="Times New Roman" w:cs="宋体"/>
        </w:rPr>
      </w:pPr>
    </w:p>
    <w:p w14:paraId="248EF306">
      <w:pPr>
        <w:spacing w:line="360" w:lineRule="auto"/>
        <w:jc w:val="center"/>
        <w:rPr>
          <w:rFonts w:ascii="方正小标宋_GBK" w:eastAsia="方正小标宋_GBK" w:cs="黑体"/>
          <w:sz w:val="32"/>
          <w:szCs w:val="32"/>
        </w:rPr>
      </w:pPr>
    </w:p>
    <w:p w14:paraId="68FA2B54">
      <w:pPr>
        <w:spacing w:line="360" w:lineRule="auto"/>
        <w:jc w:val="center"/>
        <w:rPr>
          <w:rFonts w:hint="eastAsia" w:ascii="方正小标宋_GBK" w:eastAsia="方正小标宋_GBK" w:cs="黑体"/>
          <w:sz w:val="32"/>
          <w:szCs w:val="32"/>
        </w:rPr>
      </w:pPr>
    </w:p>
    <w:p w14:paraId="20E5E33C">
      <w:pPr>
        <w:spacing w:line="360" w:lineRule="auto"/>
        <w:jc w:val="center"/>
        <w:rPr>
          <w:rFonts w:hint="eastAsia" w:ascii="方正小标宋_GBK" w:eastAsia="方正小标宋_GBK" w:cs="黑体"/>
          <w:sz w:val="32"/>
          <w:szCs w:val="32"/>
        </w:rPr>
      </w:pPr>
    </w:p>
    <w:p w14:paraId="09FAFD18">
      <w:pPr>
        <w:spacing w:line="360" w:lineRule="auto"/>
        <w:jc w:val="center"/>
        <w:rPr>
          <w:rFonts w:hint="eastAsia" w:ascii="方正小标宋_GBK" w:eastAsia="方正小标宋_GBK" w:cs="黑体"/>
          <w:sz w:val="32"/>
          <w:szCs w:val="32"/>
        </w:rPr>
      </w:pPr>
    </w:p>
    <w:p w14:paraId="7D196584">
      <w:pPr>
        <w:spacing w:line="360" w:lineRule="auto"/>
        <w:jc w:val="center"/>
        <w:rPr>
          <w:rFonts w:hint="eastAsia" w:ascii="方正小标宋_GBK" w:eastAsia="方正小标宋_GBK" w:cs="黑体"/>
          <w:sz w:val="32"/>
          <w:szCs w:val="32"/>
        </w:rPr>
      </w:pPr>
    </w:p>
    <w:p w14:paraId="4378A745">
      <w:pPr>
        <w:spacing w:line="360" w:lineRule="auto"/>
        <w:jc w:val="both"/>
        <w:rPr>
          <w:rFonts w:hint="eastAsia" w:ascii="方正小标宋_GBK" w:eastAsia="方正小标宋_GBK" w:cs="黑体"/>
          <w:sz w:val="32"/>
          <w:szCs w:val="32"/>
        </w:rPr>
      </w:pPr>
    </w:p>
    <w:p w14:paraId="6E90B165">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第三章 询价须知</w:t>
      </w:r>
      <w:bookmarkEnd w:id="7"/>
    </w:p>
    <w:p w14:paraId="71B6ADFE">
      <w:pPr>
        <w:pStyle w:val="4"/>
        <w:adjustRightInd w:val="0"/>
        <w:snapToGrid w:val="0"/>
        <w:spacing w:line="360" w:lineRule="auto"/>
        <w:jc w:val="center"/>
        <w:rPr>
          <w:sz w:val="30"/>
          <w:szCs w:val="30"/>
        </w:rPr>
      </w:pPr>
      <w:bookmarkStart w:id="10" w:name="_Toc454458053"/>
      <w:bookmarkStart w:id="11" w:name="_Toc448133309"/>
      <w:bookmarkStart w:id="12" w:name="_Toc453493032"/>
      <w:r>
        <w:rPr>
          <w:rFonts w:hint="eastAsia" w:cs="宋体"/>
          <w:sz w:val="30"/>
          <w:szCs w:val="30"/>
        </w:rPr>
        <w:t>一、总则</w:t>
      </w:r>
      <w:bookmarkEnd w:id="10"/>
      <w:bookmarkEnd w:id="11"/>
      <w:bookmarkEnd w:id="12"/>
    </w:p>
    <w:p w14:paraId="200666B2">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14:paraId="67EB1278">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14:paraId="14EA727E">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14:paraId="006E11A5">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14:paraId="58B9FF0B">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14:paraId="3EAD42E8">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询价小组：由3人以上单数组成，由项目使用部门代表及与本采购项目相关专业教师中随机抽取的专家组成，专门负责本次谈询价评审工作的临时性机构（其成员称为评委）</w:t>
      </w:r>
      <w:r>
        <w:rPr>
          <w:rFonts w:hint="eastAsia" w:ascii="宋体" w:hAnsi="宋体" w:cs="宋体"/>
          <w:color w:val="000000"/>
        </w:rPr>
        <w:t>；</w:t>
      </w:r>
    </w:p>
    <w:p w14:paraId="10D0DA59">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14:paraId="5BC9B70B">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14:paraId="770EC33A">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14:paraId="4D67D447">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14:paraId="7A484245">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14:paraId="49766853">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14:paraId="78161128">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14:paraId="0535D909">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14:paraId="6AE9271F">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14:paraId="67CE6CF2">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14:paraId="1DA3E999">
      <w:pPr>
        <w:autoSpaceDE w:val="0"/>
        <w:autoSpaceDN w:val="0"/>
        <w:adjustRightInd w:val="0"/>
        <w:snapToGrid w:val="0"/>
        <w:spacing w:line="360" w:lineRule="auto"/>
        <w:ind w:firstLine="420" w:firstLineChars="200"/>
      </w:pPr>
    </w:p>
    <w:p w14:paraId="5CD96FF7">
      <w:pPr>
        <w:pStyle w:val="4"/>
        <w:adjustRightInd w:val="0"/>
        <w:snapToGrid w:val="0"/>
        <w:spacing w:line="360" w:lineRule="auto"/>
        <w:jc w:val="center"/>
        <w:rPr>
          <w:sz w:val="30"/>
          <w:szCs w:val="30"/>
        </w:rPr>
      </w:pPr>
      <w:bookmarkStart w:id="13" w:name="_Toc454458054"/>
      <w:bookmarkStart w:id="14" w:name="_Toc453493033"/>
      <w:bookmarkStart w:id="15" w:name="_Toc448133310"/>
      <w:r>
        <w:rPr>
          <w:rFonts w:hint="eastAsia" w:cs="宋体"/>
          <w:sz w:val="30"/>
          <w:szCs w:val="30"/>
        </w:rPr>
        <w:t>二、询价</w:t>
      </w:r>
      <w:bookmarkEnd w:id="13"/>
      <w:bookmarkEnd w:id="14"/>
      <w:bookmarkEnd w:id="15"/>
      <w:r>
        <w:rPr>
          <w:rFonts w:hint="eastAsia" w:cs="宋体"/>
          <w:sz w:val="30"/>
          <w:szCs w:val="30"/>
        </w:rPr>
        <w:t>文件</w:t>
      </w:r>
    </w:p>
    <w:p w14:paraId="45FF9130">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14:paraId="6B919075">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14:paraId="61CF7E1E">
      <w:pPr>
        <w:adjustRightInd w:val="0"/>
        <w:snapToGrid w:val="0"/>
        <w:spacing w:line="360" w:lineRule="auto"/>
        <w:ind w:firstLine="420" w:firstLineChars="200"/>
        <w:rPr>
          <w:rFonts w:ascii="宋体" w:hAnsi="Times New Roman" w:cs="宋体"/>
        </w:rPr>
      </w:pPr>
      <w:r>
        <w:rPr>
          <w:rFonts w:hint="eastAsia" w:ascii="宋体" w:hAnsi="宋体" w:cs="宋体"/>
        </w:rPr>
        <w:t>5.1.1询价邀请函</w:t>
      </w:r>
    </w:p>
    <w:p w14:paraId="7099CC70">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14:paraId="5E111191">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14:paraId="76F180D6">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14:paraId="4FECA49D">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14:paraId="7EB1561E">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14:paraId="5394D5AF">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14:paraId="0E5C4A6E">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14:paraId="01F675DC">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6" w:name="_Hlk42786655"/>
      <w:r>
        <w:rPr>
          <w:rFonts w:hint="eastAsia" w:ascii="宋体" w:hAnsi="宋体" w:cs="宋体"/>
          <w:color w:val="000000"/>
        </w:rPr>
        <w:t>文件</w:t>
      </w:r>
      <w:bookmarkEnd w:id="16"/>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14:paraId="73C1D6C4">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14:paraId="2243FA76">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14:paraId="7AA2042A">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14:paraId="73C7B9B9">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14:paraId="7A140E95">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14:paraId="05CBE3BA">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14:paraId="128BE8FA">
      <w:pPr>
        <w:snapToGrid w:val="0"/>
        <w:spacing w:line="360" w:lineRule="auto"/>
        <w:ind w:firstLine="420" w:firstLineChars="200"/>
      </w:pPr>
    </w:p>
    <w:p w14:paraId="7CB147AB">
      <w:pPr>
        <w:pStyle w:val="4"/>
        <w:adjustRightInd w:val="0"/>
        <w:snapToGrid w:val="0"/>
        <w:spacing w:line="360" w:lineRule="auto"/>
        <w:jc w:val="center"/>
        <w:rPr>
          <w:sz w:val="30"/>
          <w:szCs w:val="30"/>
        </w:rPr>
      </w:pPr>
      <w:bookmarkStart w:id="17" w:name="_Toc448133311"/>
      <w:bookmarkStart w:id="18" w:name="_Toc453493034"/>
      <w:bookmarkStart w:id="19" w:name="_Toc454458055"/>
      <w:r>
        <w:rPr>
          <w:rFonts w:hint="eastAsia" w:cs="宋体"/>
          <w:sz w:val="30"/>
          <w:szCs w:val="30"/>
        </w:rPr>
        <w:t>三、响应文件的编制</w:t>
      </w:r>
      <w:bookmarkEnd w:id="17"/>
      <w:bookmarkEnd w:id="18"/>
      <w:bookmarkEnd w:id="19"/>
    </w:p>
    <w:p w14:paraId="6B076ED9">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14:paraId="07F8452F">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14:paraId="57E2BA79">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14:paraId="540EFAA6">
      <w:pPr>
        <w:adjustRightInd w:val="0"/>
        <w:snapToGrid w:val="0"/>
        <w:spacing w:line="360" w:lineRule="auto"/>
        <w:ind w:firstLine="422" w:firstLineChars="200"/>
        <w:outlineLvl w:val="2"/>
        <w:rPr>
          <w:rFonts w:ascii="宋体" w:hAnsi="Times New Roman" w:cs="宋体"/>
          <w:b/>
        </w:rPr>
      </w:pPr>
      <w:bookmarkStart w:id="20" w:name="_Toc378586968"/>
      <w:r>
        <w:rPr>
          <w:rFonts w:hint="eastAsia" w:ascii="宋体" w:hAnsi="宋体" w:cs="宋体"/>
          <w:b/>
        </w:rPr>
        <w:t>9.响应文件的构成</w:t>
      </w:r>
      <w:bookmarkEnd w:id="20"/>
    </w:p>
    <w:p w14:paraId="4893B7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9.1响应文件应包括资格、符合性资料和其他资料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供应商编制并提交的响应文件应包括但不少于下列内容:</w:t>
      </w:r>
    </w:p>
    <w:p w14:paraId="40803C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询价响应函</w:t>
      </w:r>
      <w:r>
        <w:rPr>
          <w:rFonts w:hint="eastAsia" w:ascii="宋体" w:hAnsi="宋体" w:eastAsia="宋体" w:cs="宋体"/>
          <w:color w:val="auto"/>
          <w:highlight w:val="none"/>
        </w:rPr>
        <w:t>；</w:t>
      </w:r>
    </w:p>
    <w:p w14:paraId="6776D4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供应商资格声明函</w:t>
      </w:r>
      <w:r>
        <w:rPr>
          <w:rFonts w:hint="eastAsia" w:ascii="宋体" w:hAnsi="宋体" w:eastAsia="宋体" w:cs="宋体"/>
          <w:color w:val="auto"/>
          <w:highlight w:val="none"/>
        </w:rPr>
        <w:t xml:space="preserve">； </w:t>
      </w:r>
    </w:p>
    <w:p w14:paraId="3AEEEB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无围标、串标行为承诺书</w:t>
      </w:r>
      <w:r>
        <w:rPr>
          <w:rFonts w:hint="eastAsia" w:ascii="宋体" w:hAnsi="宋体" w:eastAsia="宋体" w:cs="宋体"/>
          <w:color w:val="auto"/>
          <w:highlight w:val="none"/>
        </w:rPr>
        <w:t>；</w:t>
      </w:r>
    </w:p>
    <w:p w14:paraId="70F9D7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（4）法定代表人身份证明、法定代表人授权委托书；</w:t>
      </w:r>
    </w:p>
    <w:p w14:paraId="16A489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rPr>
        <w:t>”条款响应一览表</w:t>
      </w:r>
    </w:p>
    <w:p w14:paraId="79D437D7">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报价表（含报价一览表</w:t>
      </w:r>
      <w:r>
        <w:rPr>
          <w:rFonts w:hint="eastAsia" w:ascii="宋体" w:hAnsi="宋体" w:cs="宋体"/>
          <w:color w:val="auto"/>
          <w:highlight w:val="none"/>
          <w:lang w:val="en-US" w:eastAsia="zh-CN"/>
        </w:rPr>
        <w:t>）</w:t>
      </w:r>
    </w:p>
    <w:p w14:paraId="393896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供应商相关资料：</w:t>
      </w:r>
    </w:p>
    <w:p w14:paraId="18BC15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1）营业执照副本、税务登记证明、组织机构代码证（注:三证合一提供营业执照）；</w:t>
      </w:r>
    </w:p>
    <w:p w14:paraId="402CC0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提供投标截止日前在“国家企业信用信息公示系统” (www.gsxt.gov.cn) 查询信息中的“营业执照信息”、“股东及出资信息”、“主要人员信息”截图加盖公章；</w:t>
      </w:r>
    </w:p>
    <w:p w14:paraId="4A037B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提供投标截止日前在“信用中国”网站（www.creditchina.gov.cn）查询结果截图复印件加盖公章；</w:t>
      </w:r>
    </w:p>
    <w:p w14:paraId="5E20A8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提供投标截止日前在中国政府采购网(www.ccgp.gov.cn) 查询结果截图复印件加盖公章；</w:t>
      </w:r>
    </w:p>
    <w:p w14:paraId="2DA0C8C2">
      <w:pPr>
        <w:spacing w:line="360" w:lineRule="auto"/>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r>
        <w:rPr>
          <w:rFonts w:hint="eastAsia" w:ascii="宋体" w:hAnsi="宋体" w:cs="宋体"/>
          <w:b w:val="0"/>
          <w:bCs w:val="0"/>
          <w:color w:val="auto"/>
          <w:kern w:val="2"/>
          <w:sz w:val="21"/>
          <w:szCs w:val="21"/>
          <w:highlight w:val="none"/>
          <w:lang w:val="en-US" w:eastAsia="zh-CN" w:bidi="ar-SA"/>
        </w:rPr>
        <w:t>本项目的特定资格要求（详见第一章“询价公告”）</w:t>
      </w:r>
    </w:p>
    <w:p w14:paraId="1C8FCBAE">
      <w:pPr>
        <w:spacing w:line="360" w:lineRule="auto"/>
        <w:ind w:firstLine="420" w:firstLineChars="200"/>
        <w:rPr>
          <w:rFonts w:hint="eastAsia" w:ascii="宋体" w:hAnsi="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）供应商认为需要提供的其他材料。</w:t>
      </w:r>
    </w:p>
    <w:p w14:paraId="58FACD57">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14:paraId="1322808F">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14:paraId="37761719">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14:paraId="45AD0400">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14:paraId="2B928897">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14:paraId="05D76745">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14:paraId="76450BF4">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14:paraId="746AF4CA">
      <w:pPr>
        <w:adjustRightInd w:val="0"/>
        <w:snapToGrid w:val="0"/>
        <w:spacing w:line="360" w:lineRule="auto"/>
        <w:ind w:firstLine="420" w:firstLineChars="200"/>
        <w:rPr>
          <w:rFonts w:ascii="宋体" w:hAnsi="Times New Roman" w:cs="宋体"/>
        </w:rPr>
      </w:pPr>
      <w:r>
        <w:rPr>
          <w:rFonts w:hint="eastAsia" w:ascii="宋体" w:hAnsi="宋体" w:cs="宋体"/>
        </w:rPr>
        <w:t>11.2供应商漏报的单价或每单价报价中漏报、少报的费用，视为此项费用已隐含在报价中，成交后不得再向采购人收取任何费用。</w:t>
      </w:r>
    </w:p>
    <w:p w14:paraId="735D1DBF">
      <w:pPr>
        <w:adjustRightInd w:val="0"/>
        <w:snapToGrid w:val="0"/>
        <w:spacing w:line="360" w:lineRule="auto"/>
        <w:ind w:firstLine="413" w:firstLineChars="196"/>
        <w:outlineLvl w:val="2"/>
        <w:rPr>
          <w:rFonts w:ascii="宋体" w:hAnsi="Times New Roman" w:cs="宋体"/>
          <w:b/>
        </w:rPr>
      </w:pPr>
      <w:bookmarkStart w:id="21" w:name="_Toc378586971"/>
      <w:r>
        <w:rPr>
          <w:rFonts w:hint="eastAsia" w:ascii="宋体" w:hAnsi="宋体" w:cs="宋体"/>
          <w:b/>
        </w:rPr>
        <w:t>12.</w:t>
      </w:r>
      <w:bookmarkEnd w:id="21"/>
      <w:r>
        <w:rPr>
          <w:rFonts w:hint="eastAsia" w:ascii="宋体" w:hAnsi="宋体" w:cs="宋体"/>
          <w:b/>
        </w:rPr>
        <w:t>供应商约束</w:t>
      </w:r>
    </w:p>
    <w:p w14:paraId="6626D2EF">
      <w:pPr>
        <w:adjustRightInd w:val="0"/>
        <w:snapToGrid w:val="0"/>
        <w:spacing w:line="360" w:lineRule="auto"/>
        <w:ind w:firstLine="420" w:firstLineChars="200"/>
        <w:rPr>
          <w:rFonts w:ascii="宋体" w:hAnsi="宋体" w:cs="宋体"/>
        </w:rPr>
      </w:pPr>
      <w:bookmarkStart w:id="22" w:name="_Hlk36653371"/>
      <w:r>
        <w:rPr>
          <w:rFonts w:hint="eastAsia" w:ascii="宋体" w:hAnsi="宋体" w:cs="宋体"/>
        </w:rPr>
        <w:t>1</w:t>
      </w:r>
      <w:r>
        <w:rPr>
          <w:rFonts w:ascii="宋体" w:hAnsi="宋体" w:cs="宋体"/>
        </w:rPr>
        <w:t>2.1</w:t>
      </w:r>
      <w:bookmarkEnd w:id="22"/>
      <w:r>
        <w:rPr>
          <w:rFonts w:hint="eastAsia" w:ascii="宋体" w:hAnsi="宋体" w:cs="宋体"/>
        </w:rPr>
        <w:t>供应商存在以下情形的，将被列入供应商不良行为：</w:t>
      </w:r>
    </w:p>
    <w:p w14:paraId="0E6109D9">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14:paraId="759A3309">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14:paraId="458A3EA3">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14:paraId="01FEABBF">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14:paraId="375E9774">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14:paraId="75822E22">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14:paraId="6199693B">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14:paraId="333C3E7A">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14:paraId="43C27874">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14:paraId="6E3BB298">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供应商若存在不良行为，本单位可终止项目合同，或曝光其不良行为，或禁止该供应商一至三年内不得参与本单位的一切校内采购活动。</w:t>
      </w:r>
    </w:p>
    <w:p w14:paraId="30C0D225">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14:paraId="62638E8F">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14:paraId="2494E561">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14:paraId="6045BFA0">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14:paraId="52383D0E">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14:paraId="0F59D7F4">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14:paraId="1CACEDD9">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14:paraId="2E630D48">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14:paraId="56F9606D">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14:paraId="22AFEB83">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14:paraId="6376E9D2">
      <w:pPr>
        <w:adjustRightInd w:val="0"/>
        <w:snapToGrid w:val="0"/>
        <w:spacing w:line="360" w:lineRule="auto"/>
        <w:rPr>
          <w:rFonts w:ascii="宋体" w:hAnsi="Times New Roman" w:cs="宋体"/>
        </w:rPr>
      </w:pPr>
    </w:p>
    <w:p w14:paraId="005BA5D4">
      <w:pPr>
        <w:pStyle w:val="4"/>
        <w:adjustRightInd w:val="0"/>
        <w:snapToGrid w:val="0"/>
        <w:spacing w:line="360" w:lineRule="auto"/>
        <w:jc w:val="center"/>
        <w:rPr>
          <w:sz w:val="30"/>
          <w:szCs w:val="30"/>
        </w:rPr>
      </w:pPr>
      <w:bookmarkStart w:id="23" w:name="_Toc448133312"/>
      <w:bookmarkStart w:id="24" w:name="_Toc453493035"/>
      <w:bookmarkStart w:id="25" w:name="_Toc454458056"/>
      <w:r>
        <w:rPr>
          <w:rFonts w:hint="eastAsia" w:cs="宋体"/>
          <w:sz w:val="30"/>
          <w:szCs w:val="30"/>
        </w:rPr>
        <w:t>四、响应文件的递交</w:t>
      </w:r>
      <w:bookmarkEnd w:id="23"/>
      <w:bookmarkEnd w:id="24"/>
      <w:bookmarkEnd w:id="25"/>
    </w:p>
    <w:p w14:paraId="5B72B25B">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14:paraId="2928A4F0">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14:paraId="4B462E63">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14:paraId="747A4543">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14:paraId="4AA7D8E4">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14:paraId="7AAB5452">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14:paraId="75959B72">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14:paraId="5CF9467B">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14:paraId="2D1B87FF">
      <w:pPr>
        <w:autoSpaceDE w:val="0"/>
        <w:autoSpaceDN w:val="0"/>
        <w:adjustRightInd w:val="0"/>
        <w:snapToGrid w:val="0"/>
        <w:spacing w:line="360" w:lineRule="auto"/>
        <w:ind w:firstLine="411" w:firstLineChars="196"/>
        <w:jc w:val="left"/>
        <w:rPr>
          <w:rFonts w:ascii="宋体" w:hAnsi="Times New Roman" w:cs="宋体"/>
        </w:rPr>
      </w:pPr>
    </w:p>
    <w:p w14:paraId="3DD43B56">
      <w:pPr>
        <w:pStyle w:val="4"/>
        <w:keepLines w:val="0"/>
        <w:widowControl/>
        <w:numPr>
          <w:ilvl w:val="0"/>
          <w:numId w:val="2"/>
        </w:numPr>
        <w:adjustRightInd w:val="0"/>
        <w:snapToGrid w:val="0"/>
        <w:spacing w:before="0" w:after="0" w:line="360" w:lineRule="auto"/>
        <w:jc w:val="center"/>
        <w:rPr>
          <w:sz w:val="30"/>
          <w:szCs w:val="30"/>
        </w:rPr>
      </w:pPr>
      <w:bookmarkStart w:id="26" w:name="_Toc453493036"/>
      <w:bookmarkStart w:id="27" w:name="_Toc448133313"/>
      <w:bookmarkStart w:id="28" w:name="_Toc454458057"/>
      <w:r>
        <w:rPr>
          <w:rFonts w:hint="eastAsia" w:cs="宋体"/>
          <w:sz w:val="30"/>
          <w:szCs w:val="30"/>
        </w:rPr>
        <w:t>询价流程</w:t>
      </w:r>
      <w:bookmarkEnd w:id="26"/>
      <w:bookmarkEnd w:id="27"/>
      <w:bookmarkEnd w:id="28"/>
    </w:p>
    <w:p w14:paraId="5C458871">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14:paraId="7FFDAC34">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询价小组由3人以上单数组成，由</w:t>
      </w:r>
      <w:bookmarkStart w:id="29" w:name="_Hlk42790008"/>
      <w:r>
        <w:rPr>
          <w:rFonts w:hint="eastAsia" w:ascii="宋体" w:hAnsi="宋体" w:cs="宋体"/>
          <w:color w:val="000000"/>
        </w:rPr>
        <w:t>项目使用部门代表</w:t>
      </w:r>
      <w:bookmarkEnd w:id="29"/>
      <w:r>
        <w:rPr>
          <w:rFonts w:hint="eastAsia" w:ascii="宋体" w:hAnsi="宋体" w:cs="宋体"/>
          <w:color w:val="000000"/>
        </w:rPr>
        <w:t>及与本采购项目相关专业教师中随机抽取的专家组成；</w:t>
      </w:r>
    </w:p>
    <w:p w14:paraId="7075F010">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14:paraId="1C692063">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14:paraId="341789C3">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14:paraId="7B32CB0A">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14:paraId="5ADC0696">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14:paraId="001719BA">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14:paraId="554089B5">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14:paraId="3AF218CD">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14:paraId="1F8D9FC6">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14:paraId="067671FB">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14:paraId="480C6E3E">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14:paraId="51DA4741">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14:paraId="715F3FDC">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14:paraId="21B5F16D">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14:paraId="2FA1C0AA">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14:paraId="742204F0">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14:paraId="42A81634">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14:paraId="5EA53E85">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14:paraId="32D1B4E4">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14:paraId="20EB6E18">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14:paraId="74CEFD0C">
      <w:pPr>
        <w:adjustRightInd w:val="0"/>
        <w:snapToGrid w:val="0"/>
        <w:spacing w:line="360" w:lineRule="auto"/>
        <w:ind w:firstLine="422" w:firstLineChars="200"/>
        <w:rPr>
          <w:rFonts w:ascii="宋体" w:hAnsi="宋体" w:cs="宋体"/>
          <w:b/>
          <w:bCs/>
        </w:rPr>
      </w:pPr>
      <w:bookmarkStart w:id="30" w:name="_Hlk42842751"/>
      <w:r>
        <w:rPr>
          <w:rFonts w:hint="eastAsia" w:ascii="宋体" w:hAnsi="宋体" w:cs="宋体"/>
          <w:b/>
          <w:bCs/>
        </w:rPr>
        <w:t>18.</w:t>
      </w:r>
      <w:r>
        <w:rPr>
          <w:rFonts w:ascii="宋体" w:hAnsi="宋体" w:cs="宋体"/>
          <w:b/>
          <w:bCs/>
        </w:rPr>
        <w:t>8</w:t>
      </w:r>
      <w:bookmarkEnd w:id="30"/>
      <w:r>
        <w:rPr>
          <w:rFonts w:hint="eastAsia" w:ascii="宋体" w:hAnsi="宋体" w:cs="宋体"/>
          <w:b/>
          <w:bCs/>
        </w:rPr>
        <w:t>有下列情形之一的，视为供应商串通投标，其响应无效：</w:t>
      </w:r>
    </w:p>
    <w:p w14:paraId="0D82BC91">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14:paraId="1F1D1998">
      <w:pPr>
        <w:adjustRightInd w:val="0"/>
        <w:snapToGrid w:val="0"/>
        <w:spacing w:line="360" w:lineRule="auto"/>
        <w:ind w:firstLine="420" w:firstLineChars="200"/>
        <w:rPr>
          <w:rFonts w:ascii="宋体" w:hAnsi="宋体" w:cs="宋体"/>
        </w:rPr>
      </w:pPr>
      <w:bookmarkStart w:id="31"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1"/>
      <w:r>
        <w:rPr>
          <w:rFonts w:hint="eastAsia" w:ascii="宋体" w:hAnsi="宋体" w:cs="宋体"/>
        </w:rPr>
        <w:t>不同供应商委托同一单位或者个人办理询价报价事宜；</w:t>
      </w:r>
    </w:p>
    <w:p w14:paraId="2E37B0ED">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14:paraId="0EE15427">
      <w:pPr>
        <w:adjustRightInd w:val="0"/>
        <w:snapToGrid w:val="0"/>
        <w:spacing w:line="360" w:lineRule="auto"/>
        <w:ind w:firstLine="420" w:firstLineChars="200"/>
        <w:rPr>
          <w:rFonts w:ascii="宋体" w:hAnsi="宋体" w:cs="宋体"/>
        </w:rPr>
      </w:pPr>
      <w:bookmarkStart w:id="32"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2"/>
      <w:r>
        <w:rPr>
          <w:rFonts w:hint="eastAsia" w:ascii="宋体" w:hAnsi="宋体" w:cs="宋体"/>
        </w:rPr>
        <w:t>不同供应商的响应文件异常一致或者报价呈规律性差异；</w:t>
      </w:r>
    </w:p>
    <w:p w14:paraId="06017E8B">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14:paraId="13744D7F">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14:paraId="566334EE">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14:paraId="48310A09">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14:paraId="0CDE01C8">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14:paraId="1BFA0904">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14:paraId="211E0F01">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14:paraId="1E13C674">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14:paraId="1AC04D3D">
      <w:pPr>
        <w:tabs>
          <w:tab w:val="left" w:pos="851"/>
        </w:tabs>
        <w:adjustRightInd w:val="0"/>
        <w:snapToGrid w:val="0"/>
        <w:spacing w:line="360" w:lineRule="auto"/>
        <w:ind w:firstLine="420" w:firstLineChars="200"/>
        <w:rPr>
          <w:rFonts w:ascii="宋体" w:hAnsi="Times New Roman" w:cs="宋体"/>
        </w:rPr>
      </w:pPr>
      <w:bookmarkStart w:id="33"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3"/>
      <w:r>
        <w:rPr>
          <w:rFonts w:hint="eastAsia" w:ascii="宋体" w:hAnsi="宋体" w:cs="宋体"/>
        </w:rPr>
        <w:t>符合专业条件的供应商或者对询价文件实质响应的供应商不足三家的（有特别说明除外）；</w:t>
      </w:r>
    </w:p>
    <w:p w14:paraId="55845F72">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14:paraId="29450077">
      <w:pPr>
        <w:tabs>
          <w:tab w:val="left" w:pos="851"/>
        </w:tabs>
        <w:adjustRightInd w:val="0"/>
        <w:snapToGrid w:val="0"/>
        <w:spacing w:line="360" w:lineRule="auto"/>
        <w:ind w:firstLine="420" w:firstLineChars="200"/>
        <w:rPr>
          <w:rFonts w:ascii="宋体" w:hAnsi="Times New Roman" w:cs="宋体"/>
        </w:rPr>
      </w:pPr>
      <w:bookmarkStart w:id="34"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4"/>
      <w:r>
        <w:rPr>
          <w:rFonts w:hint="eastAsia" w:ascii="宋体" w:hAnsi="宋体" w:cs="宋体"/>
        </w:rPr>
        <w:t>供应商的报价均超过了采购预算，采购人不能支付的；</w:t>
      </w:r>
    </w:p>
    <w:p w14:paraId="284799C9">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14:paraId="71A8A0A7">
      <w:pPr>
        <w:tabs>
          <w:tab w:val="left" w:pos="851"/>
        </w:tabs>
        <w:adjustRightInd w:val="0"/>
        <w:snapToGrid w:val="0"/>
        <w:spacing w:line="360" w:lineRule="auto"/>
        <w:ind w:firstLine="420" w:firstLineChars="200"/>
        <w:rPr>
          <w:rFonts w:ascii="宋体" w:hAnsi="Times New Roman" w:cs="宋体"/>
        </w:rPr>
      </w:pPr>
      <w:bookmarkStart w:id="35"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35"/>
      <w:r>
        <w:rPr>
          <w:rFonts w:hint="eastAsia" w:ascii="宋体" w:hAnsi="宋体" w:cs="宋体"/>
        </w:rPr>
        <w:t>响应文件未完全满足询价文件的实质性条款（即标</w:t>
      </w:r>
      <w:r>
        <w:rPr>
          <w:rFonts w:hint="eastAsia" w:ascii="宋体" w:hAnsi="宋体" w:cs="宋体"/>
          <w:highlight w:val="none"/>
        </w:rPr>
        <w:t>注▲号</w:t>
      </w:r>
      <w:r>
        <w:rPr>
          <w:rFonts w:hint="eastAsia" w:ascii="宋体" w:hAnsi="宋体" w:cs="宋体"/>
        </w:rPr>
        <w:t>条款）无负偏离的。</w:t>
      </w:r>
    </w:p>
    <w:p w14:paraId="3DD547DB">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14:paraId="41519813">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14:paraId="21671BC3">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14:paraId="4EED0127">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14:paraId="3FB3AF3D">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14:paraId="40BCD481">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14:paraId="6B857AB0">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14:paraId="356F0E27">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14:paraId="4E865C13">
      <w:pPr>
        <w:autoSpaceDE w:val="0"/>
        <w:autoSpaceDN w:val="0"/>
        <w:adjustRightInd w:val="0"/>
        <w:snapToGrid w:val="0"/>
        <w:spacing w:line="360" w:lineRule="auto"/>
        <w:ind w:firstLine="413" w:firstLineChars="196"/>
        <w:outlineLvl w:val="0"/>
        <w:rPr>
          <w:rFonts w:ascii="宋体" w:hAnsi="Times New Roman" w:cs="宋体"/>
          <w:b/>
        </w:rPr>
      </w:pPr>
      <w:bookmarkStart w:id="36" w:name="_Toc433127783"/>
      <w:r>
        <w:rPr>
          <w:rFonts w:hint="eastAsia" w:ascii="宋体" w:hAnsi="宋体" w:cs="宋体"/>
          <w:b/>
        </w:rPr>
        <w:t>21.询问、质疑、投诉</w:t>
      </w:r>
      <w:bookmarkEnd w:id="36"/>
    </w:p>
    <w:p w14:paraId="7B41CD89">
      <w:pPr>
        <w:autoSpaceDE w:val="0"/>
        <w:autoSpaceDN w:val="0"/>
        <w:adjustRightInd w:val="0"/>
        <w:snapToGrid w:val="0"/>
        <w:spacing w:line="360" w:lineRule="auto"/>
        <w:ind w:firstLine="413" w:firstLineChars="196"/>
        <w:outlineLvl w:val="0"/>
        <w:rPr>
          <w:rFonts w:ascii="宋体" w:hAnsi="Times New Roman" w:cs="宋体"/>
          <w:b/>
        </w:rPr>
      </w:pPr>
      <w:r>
        <w:rPr>
          <w:rFonts w:hint="eastAsia" w:ascii="宋体" w:hAnsi="宋体" w:cs="宋体"/>
          <w:b/>
        </w:rPr>
        <w:t>21.1询问</w:t>
      </w:r>
    </w:p>
    <w:p w14:paraId="6DD1A0EC">
      <w:pPr>
        <w:autoSpaceDE w:val="0"/>
        <w:autoSpaceDN w:val="0"/>
        <w:adjustRightInd w:val="0"/>
        <w:snapToGrid w:val="0"/>
        <w:spacing w:line="360" w:lineRule="auto"/>
        <w:ind w:firstLine="411" w:firstLineChars="196"/>
        <w:outlineLvl w:val="0"/>
        <w:rPr>
          <w:rFonts w:ascii="宋体" w:hAnsi="Times New Roman" w:cs="宋体"/>
          <w:b/>
        </w:rPr>
      </w:pPr>
      <w:r>
        <w:rPr>
          <w:rFonts w:hint="eastAsia" w:ascii="宋体" w:hAnsi="宋体" w:cs="宋体"/>
        </w:rPr>
        <w:t>21.1.1供应商对采购活动事项有疑问的，可以向采购单位提出询问，询问可以口头方式提出，也可以书面方式提出。</w:t>
      </w:r>
    </w:p>
    <w:p w14:paraId="27A521FF">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14:paraId="6A88DC39">
      <w:pPr>
        <w:autoSpaceDE w:val="0"/>
        <w:autoSpaceDN w:val="0"/>
        <w:adjustRightInd w:val="0"/>
        <w:snapToGrid w:val="0"/>
        <w:spacing w:line="360" w:lineRule="auto"/>
        <w:ind w:firstLine="413" w:firstLineChars="196"/>
        <w:outlineLvl w:val="0"/>
        <w:rPr>
          <w:rFonts w:ascii="宋体" w:hAnsi="宋体" w:cs="宋体"/>
          <w:b/>
        </w:rPr>
      </w:pPr>
      <w:r>
        <w:rPr>
          <w:rFonts w:hint="eastAsia" w:ascii="宋体" w:hAnsi="宋体" w:cs="宋体"/>
          <w:b/>
        </w:rPr>
        <w:t>21.2质疑</w:t>
      </w:r>
    </w:p>
    <w:p w14:paraId="2F717FE9">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21.2.1质疑期限：</w:t>
      </w:r>
    </w:p>
    <w:p w14:paraId="1EAE4320">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21.2.1.1供应商认为采购文件的内容损害其权益的，应在收到采购文件之日或者采购文件公告期届满之日起七个工作日内。</w:t>
      </w:r>
    </w:p>
    <w:p w14:paraId="46D9660F">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21.2.1.2供应商认为采购过程损害其权益的，应在各采购程序环节结束之日起七个工作日内。</w:t>
      </w:r>
    </w:p>
    <w:p w14:paraId="4D1FDD1D">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21.2.1.3 供应商认为中标或者成交结果损害其权益的，应在中标或者成交结果公告期限届满之日起七个工作日内。</w:t>
      </w:r>
    </w:p>
    <w:p w14:paraId="03F27A5E">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21.2.2提交要求：</w:t>
      </w:r>
    </w:p>
    <w:p w14:paraId="0F22E815">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21.2.2.1 以书面形式（加盖供应商公章）向采购人提出质疑，供应商以电话、传真或电邮形式提交的质疑属于无效质疑。</w:t>
      </w:r>
    </w:p>
    <w:p w14:paraId="58819E1B">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14:paraId="5A5AB62C">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14:paraId="68F1DC42">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p>
    <w:p w14:paraId="180DD22B">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14:paraId="6CF14A75">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14:paraId="66C6D61B">
      <w:pPr>
        <w:autoSpaceDE w:val="0"/>
        <w:autoSpaceDN w:val="0"/>
        <w:adjustRightInd w:val="0"/>
        <w:snapToGrid w:val="0"/>
        <w:spacing w:line="360" w:lineRule="auto"/>
        <w:jc w:val="left"/>
        <w:rPr>
          <w:rFonts w:ascii="宋体" w:hAnsi="Times New Roman" w:cs="宋体"/>
        </w:rPr>
      </w:pPr>
    </w:p>
    <w:p w14:paraId="16316226">
      <w:pPr>
        <w:pStyle w:val="4"/>
        <w:adjustRightInd w:val="0"/>
        <w:snapToGrid w:val="0"/>
        <w:spacing w:line="360" w:lineRule="auto"/>
        <w:jc w:val="center"/>
        <w:rPr>
          <w:sz w:val="30"/>
          <w:szCs w:val="30"/>
        </w:rPr>
      </w:pPr>
      <w:bookmarkStart w:id="37" w:name="_Toc453493037"/>
      <w:bookmarkStart w:id="38" w:name="_Toc454458058"/>
      <w:bookmarkStart w:id="39" w:name="_Toc448133314"/>
      <w:r>
        <w:rPr>
          <w:rFonts w:hint="eastAsia" w:cs="宋体"/>
          <w:sz w:val="30"/>
          <w:szCs w:val="30"/>
        </w:rPr>
        <w:t>六、授予合同</w:t>
      </w:r>
      <w:bookmarkEnd w:id="37"/>
      <w:bookmarkEnd w:id="38"/>
      <w:bookmarkEnd w:id="39"/>
    </w:p>
    <w:p w14:paraId="2AD80BDA">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14:paraId="6258ED77">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14:paraId="1037037E">
      <w:pPr>
        <w:adjustRightInd w:val="0"/>
        <w:snapToGrid w:val="0"/>
        <w:spacing w:line="360" w:lineRule="auto"/>
        <w:ind w:firstLine="413" w:firstLineChars="196"/>
        <w:outlineLvl w:val="2"/>
        <w:rPr>
          <w:rFonts w:ascii="宋体" w:hAnsi="Times New Roman" w:cs="宋体"/>
          <w:b/>
        </w:rPr>
      </w:pPr>
      <w:bookmarkStart w:id="40" w:name="_Toc378586990"/>
      <w:r>
        <w:rPr>
          <w:rFonts w:hint="eastAsia" w:ascii="宋体" w:hAnsi="宋体" w:cs="宋体"/>
          <w:b/>
        </w:rPr>
        <w:t>23.合同的履行</w:t>
      </w:r>
      <w:bookmarkEnd w:id="40"/>
    </w:p>
    <w:p w14:paraId="7FA3C9E0">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14:paraId="443E46F4">
      <w:pPr>
        <w:spacing w:line="360" w:lineRule="auto"/>
        <w:rPr>
          <w:rFonts w:cs="Times New Roman"/>
          <w:b/>
          <w:bCs/>
          <w:sz w:val="24"/>
          <w:szCs w:val="24"/>
        </w:rPr>
        <w:sectPr>
          <w:headerReference r:id="rId8" w:type="default"/>
          <w:footerReference r:id="rId9" w:type="default"/>
          <w:pgSz w:w="11906" w:h="16838"/>
          <w:pgMar w:top="1440" w:right="1800" w:bottom="1440" w:left="1800" w:header="851" w:footer="992" w:gutter="0"/>
          <w:cols w:space="425" w:num="1"/>
          <w:docGrid w:type="lines" w:linePitch="312" w:charSpace="0"/>
        </w:sectPr>
      </w:pPr>
    </w:p>
    <w:p w14:paraId="6F42FEAB">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14:paraId="2AF4C862">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14:paraId="115E6989">
      <w:pPr>
        <w:spacing w:after="312" w:afterLines="100"/>
        <w:jc w:val="center"/>
        <w:rPr>
          <w:rFonts w:ascii="宋体" w:cs="宋体"/>
          <w:sz w:val="36"/>
          <w:szCs w:val="36"/>
        </w:rPr>
      </w:pPr>
      <w:r>
        <w:rPr>
          <w:rFonts w:hint="eastAsia" w:ascii="宋体" w:hAnsi="宋体" w:cs="宋体"/>
          <w:sz w:val="36"/>
          <w:szCs w:val="36"/>
        </w:rPr>
        <w:t>资格性及符合性审查表</w:t>
      </w:r>
    </w:p>
    <w:p w14:paraId="5B7B0014">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7"/>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14:paraId="640F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14:paraId="30A7D3D2">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14:paraId="661C05F0">
            <w:pPr>
              <w:ind w:firstLine="1575" w:firstLineChars="750"/>
              <w:rPr>
                <w:rFonts w:ascii="宋体" w:cs="宋体"/>
              </w:rPr>
            </w:pPr>
            <w:r>
              <w:rPr>
                <w:rFonts w:hint="eastAsia" w:ascii="宋体" w:hAnsi="宋体" w:cs="宋体"/>
              </w:rPr>
              <w:t>检查项目</w:t>
            </w:r>
          </w:p>
          <w:p w14:paraId="283153FC">
            <w:pPr>
              <w:rPr>
                <w:rFonts w:ascii="宋体" w:cs="宋体"/>
                <w:spacing w:val="-12"/>
              </w:rPr>
            </w:pPr>
            <w:r>
              <w:rPr>
                <w:rFonts w:hint="eastAsia" w:ascii="宋体" w:hAnsi="宋体" w:cs="宋体"/>
              </w:rPr>
              <w:t>供应商名称</w:t>
            </w:r>
          </w:p>
        </w:tc>
        <w:tc>
          <w:tcPr>
            <w:tcW w:w="1303" w:type="dxa"/>
            <w:shd w:val="clear" w:color="auto" w:fill="D9D9D9"/>
            <w:vAlign w:val="center"/>
          </w:tcPr>
          <w:p w14:paraId="16FED2C4">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14:paraId="5FDA0770">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14:paraId="084020D8">
            <w:pPr>
              <w:jc w:val="center"/>
              <w:rPr>
                <w:rFonts w:ascii="宋体" w:cs="宋体"/>
              </w:rPr>
            </w:pPr>
            <w:r>
              <w:rPr>
                <w:rFonts w:hint="eastAsia" w:ascii="宋体" w:hAnsi="宋体" w:cs="宋体"/>
              </w:rPr>
              <w:t>结论</w:t>
            </w:r>
          </w:p>
        </w:tc>
      </w:tr>
      <w:tr w14:paraId="0C42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14:paraId="4CD80F2C">
            <w:pPr>
              <w:jc w:val="center"/>
              <w:rPr>
                <w:rFonts w:ascii="宋体" w:cs="宋体"/>
                <w:spacing w:val="-12"/>
              </w:rPr>
            </w:pPr>
          </w:p>
        </w:tc>
        <w:tc>
          <w:tcPr>
            <w:tcW w:w="2848" w:type="dxa"/>
            <w:vMerge w:val="continue"/>
            <w:tcBorders>
              <w:tl2br w:val="single" w:color="auto" w:sz="4" w:space="0"/>
            </w:tcBorders>
            <w:shd w:val="clear" w:color="auto" w:fill="D9D9D9"/>
            <w:vAlign w:val="center"/>
          </w:tcPr>
          <w:p w14:paraId="77ED42CB">
            <w:pPr>
              <w:ind w:firstLine="1575" w:firstLineChars="750"/>
              <w:rPr>
                <w:rFonts w:ascii="宋体" w:cs="宋体"/>
              </w:rPr>
            </w:pPr>
          </w:p>
        </w:tc>
        <w:tc>
          <w:tcPr>
            <w:tcW w:w="1303" w:type="dxa"/>
            <w:shd w:val="clear" w:color="auto" w:fill="D9D9D9"/>
            <w:vAlign w:val="center"/>
          </w:tcPr>
          <w:p w14:paraId="4809F0FB">
            <w:pPr>
              <w:jc w:val="center"/>
              <w:rPr>
                <w:rFonts w:ascii="宋体" w:cs="宋体"/>
              </w:rPr>
            </w:pPr>
            <w:r>
              <w:rPr>
                <w:rFonts w:hint="eastAsia" w:ascii="宋体" w:hAnsi="宋体" w:cs="宋体"/>
              </w:rPr>
              <w:t>合格供应商</w:t>
            </w:r>
          </w:p>
        </w:tc>
        <w:tc>
          <w:tcPr>
            <w:tcW w:w="1843" w:type="dxa"/>
            <w:shd w:val="clear" w:color="auto" w:fill="D9D9D9"/>
            <w:vAlign w:val="center"/>
          </w:tcPr>
          <w:p w14:paraId="755575BA">
            <w:pPr>
              <w:jc w:val="center"/>
              <w:rPr>
                <w:rFonts w:ascii="宋体" w:cs="宋体"/>
              </w:rPr>
            </w:pPr>
            <w:r>
              <w:rPr>
                <w:rFonts w:hint="eastAsia" w:ascii="宋体" w:hAnsi="宋体" w:cs="宋体"/>
              </w:rPr>
              <w:t>响应文件</w:t>
            </w:r>
          </w:p>
          <w:p w14:paraId="0F12CA68">
            <w:pPr>
              <w:jc w:val="center"/>
              <w:rPr>
                <w:rFonts w:ascii="宋体" w:cs="宋体"/>
              </w:rPr>
            </w:pPr>
            <w:r>
              <w:rPr>
                <w:rFonts w:hint="eastAsia" w:ascii="宋体" w:hAnsi="宋体" w:cs="宋体"/>
              </w:rPr>
              <w:t>签署合格</w:t>
            </w:r>
          </w:p>
        </w:tc>
        <w:tc>
          <w:tcPr>
            <w:tcW w:w="1134" w:type="dxa"/>
            <w:shd w:val="clear" w:color="auto" w:fill="D9D9D9"/>
            <w:vAlign w:val="center"/>
          </w:tcPr>
          <w:p w14:paraId="7D31B2E7">
            <w:pPr>
              <w:jc w:val="center"/>
              <w:rPr>
                <w:rFonts w:ascii="宋体" w:cs="宋体"/>
              </w:rPr>
            </w:pPr>
            <w:r>
              <w:rPr>
                <w:rFonts w:hint="eastAsia" w:ascii="宋体" w:hAnsi="宋体" w:cs="宋体"/>
              </w:rPr>
              <w:t>报价要求</w:t>
            </w:r>
          </w:p>
        </w:tc>
        <w:tc>
          <w:tcPr>
            <w:tcW w:w="1984" w:type="dxa"/>
            <w:shd w:val="clear" w:color="auto" w:fill="D9D9D9"/>
            <w:vAlign w:val="center"/>
          </w:tcPr>
          <w:p w14:paraId="27583C08">
            <w:pPr>
              <w:jc w:val="center"/>
              <w:rPr>
                <w:rFonts w:ascii="宋体" w:cs="宋体"/>
              </w:rPr>
            </w:pPr>
            <w:r>
              <w:rPr>
                <w:rFonts w:hint="eastAsia" w:ascii="宋体" w:hAnsi="宋体" w:cs="宋体"/>
              </w:rPr>
              <w:t>响应文件的完整性</w:t>
            </w:r>
          </w:p>
        </w:tc>
        <w:tc>
          <w:tcPr>
            <w:tcW w:w="851" w:type="dxa"/>
            <w:shd w:val="clear" w:color="auto" w:fill="D9D9D9"/>
            <w:vAlign w:val="center"/>
          </w:tcPr>
          <w:p w14:paraId="1B7F5A45">
            <w:pPr>
              <w:jc w:val="center"/>
              <w:rPr>
                <w:rFonts w:ascii="宋体" w:cs="宋体"/>
              </w:rPr>
            </w:pPr>
            <w:r>
              <w:rPr>
                <w:rFonts w:hint="eastAsia" w:ascii="宋体" w:hAnsi="宋体" w:cs="宋体"/>
              </w:rPr>
              <w:t>询价有效期</w:t>
            </w:r>
          </w:p>
        </w:tc>
        <w:tc>
          <w:tcPr>
            <w:tcW w:w="850" w:type="dxa"/>
            <w:shd w:val="clear" w:color="auto" w:fill="D9D9D9"/>
            <w:vAlign w:val="center"/>
          </w:tcPr>
          <w:p w14:paraId="1A5E2708">
            <w:pPr>
              <w:jc w:val="center"/>
              <w:rPr>
                <w:rFonts w:ascii="宋体" w:cs="宋体"/>
              </w:rPr>
            </w:pPr>
            <w:r>
              <w:rPr>
                <w:rFonts w:hint="eastAsia" w:ascii="宋体" w:hAnsi="宋体" w:cs="宋体"/>
              </w:rPr>
              <w:t>带</w:t>
            </w:r>
            <w:r>
              <w:rPr>
                <w:rFonts w:hint="eastAsia" w:ascii="宋体" w:hAnsi="宋体" w:cs="宋体"/>
                <w:highlight w:val="none"/>
              </w:rPr>
              <w:t>▲</w:t>
            </w:r>
            <w:r>
              <w:rPr>
                <w:rFonts w:hint="eastAsia" w:ascii="宋体" w:hAnsi="宋体" w:cs="宋体"/>
              </w:rPr>
              <w:t>条款</w:t>
            </w:r>
          </w:p>
        </w:tc>
        <w:tc>
          <w:tcPr>
            <w:tcW w:w="2835" w:type="dxa"/>
            <w:gridSpan w:val="2"/>
            <w:shd w:val="clear" w:color="auto" w:fill="D9D9D9"/>
            <w:vAlign w:val="center"/>
          </w:tcPr>
          <w:p w14:paraId="1567BF76">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14:paraId="29D14063">
            <w:pPr>
              <w:jc w:val="center"/>
              <w:rPr>
                <w:rFonts w:ascii="宋体" w:cs="宋体"/>
              </w:rPr>
            </w:pPr>
          </w:p>
        </w:tc>
      </w:tr>
      <w:tr w14:paraId="0A77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14:paraId="0EE3E909">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14:paraId="526B6066">
            <w:pPr>
              <w:ind w:firstLine="1575" w:firstLineChars="750"/>
              <w:rPr>
                <w:rFonts w:ascii="宋体" w:cs="宋体"/>
              </w:rPr>
            </w:pPr>
          </w:p>
        </w:tc>
        <w:tc>
          <w:tcPr>
            <w:tcW w:w="1303" w:type="dxa"/>
            <w:tcBorders>
              <w:bottom w:val="single" w:color="auto" w:sz="4" w:space="0"/>
            </w:tcBorders>
            <w:shd w:val="clear" w:color="auto" w:fill="D9D9D9"/>
            <w:vAlign w:val="center"/>
          </w:tcPr>
          <w:p w14:paraId="2B8AD696">
            <w:pPr>
              <w:jc w:val="center"/>
              <w:rPr>
                <w:rFonts w:ascii="宋体" w:cs="宋体"/>
              </w:rPr>
            </w:pPr>
            <w:r>
              <w:rPr>
                <w:rFonts w:hint="eastAsia" w:ascii="宋体" w:hAnsi="宋体" w:cs="宋体"/>
              </w:rPr>
              <w:t>详见询价邀请函中“供应商资格”</w:t>
            </w:r>
          </w:p>
        </w:tc>
        <w:tc>
          <w:tcPr>
            <w:tcW w:w="1843" w:type="dxa"/>
            <w:tcBorders>
              <w:bottom w:val="single" w:color="auto" w:sz="4" w:space="0"/>
            </w:tcBorders>
            <w:shd w:val="clear" w:color="auto" w:fill="D9D9D9"/>
            <w:vAlign w:val="center"/>
          </w:tcPr>
          <w:p w14:paraId="3674814E">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14:paraId="44D239DF">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14:paraId="49F733F7">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14:paraId="4EA7A71C">
            <w:pPr>
              <w:jc w:val="center"/>
              <w:rPr>
                <w:rFonts w:ascii="宋体" w:cs="宋体"/>
                <w:color w:val="FF0000"/>
              </w:rPr>
            </w:pPr>
            <w:r>
              <w:rPr>
                <w:rFonts w:hint="eastAsia" w:ascii="宋体" w:hAnsi="宋体" w:cs="宋体"/>
                <w:color w:val="000000" w:themeColor="text1"/>
                <w14:textFill>
                  <w14:solidFill>
                    <w14:schemeClr w14:val="tx1"/>
                  </w14:solidFill>
                </w14:textFill>
              </w:rPr>
              <w:t>询价截止日起</w:t>
            </w:r>
            <w:r>
              <w:rPr>
                <w:rFonts w:hint="eastAsia" w:ascii="宋体" w:hAnsi="宋体" w:cs="宋体"/>
                <w:color w:val="000000" w:themeColor="text1"/>
                <w:lang w:val="en-US" w:eastAsia="zh-CN"/>
                <w14:textFill>
                  <w14:solidFill>
                    <w14:schemeClr w14:val="tx1"/>
                  </w14:solidFill>
                </w14:textFill>
              </w:rPr>
              <w:t>90</w:t>
            </w:r>
            <w:r>
              <w:rPr>
                <w:rFonts w:hint="eastAsia" w:ascii="宋体" w:hAnsi="宋体" w:cs="宋体"/>
                <w:color w:val="000000" w:themeColor="text1"/>
                <w14:textFill>
                  <w14:solidFill>
                    <w14:schemeClr w14:val="tx1"/>
                  </w14:solidFill>
                </w14:textFill>
              </w:rPr>
              <w:t>天</w:t>
            </w:r>
          </w:p>
        </w:tc>
        <w:tc>
          <w:tcPr>
            <w:tcW w:w="850" w:type="dxa"/>
            <w:tcBorders>
              <w:bottom w:val="single" w:color="auto" w:sz="4" w:space="0"/>
            </w:tcBorders>
            <w:shd w:val="clear" w:color="auto" w:fill="D9D9D9"/>
            <w:vAlign w:val="center"/>
          </w:tcPr>
          <w:p w14:paraId="1EF0EB70">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14:paraId="6E5E24C8">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14:paraId="4A262D4B">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14:paraId="2CCFD419">
            <w:pPr>
              <w:jc w:val="center"/>
              <w:rPr>
                <w:rFonts w:ascii="宋体" w:cs="宋体"/>
              </w:rPr>
            </w:pPr>
          </w:p>
        </w:tc>
      </w:tr>
      <w:tr w14:paraId="6D87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14:paraId="06570CF2">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14:paraId="6EB3563A">
            <w:pPr>
              <w:spacing w:line="360" w:lineRule="auto"/>
              <w:jc w:val="center"/>
              <w:rPr>
                <w:rFonts w:ascii="宋体" w:cs="宋体"/>
              </w:rPr>
            </w:pPr>
          </w:p>
        </w:tc>
        <w:tc>
          <w:tcPr>
            <w:tcW w:w="1303" w:type="dxa"/>
            <w:shd w:val="clear" w:color="auto" w:fill="auto"/>
            <w:vAlign w:val="center"/>
          </w:tcPr>
          <w:p w14:paraId="08A25FEA">
            <w:pPr>
              <w:jc w:val="center"/>
              <w:rPr>
                <w:rFonts w:ascii="宋体" w:cs="宋体"/>
              </w:rPr>
            </w:pPr>
          </w:p>
        </w:tc>
        <w:tc>
          <w:tcPr>
            <w:tcW w:w="1843" w:type="dxa"/>
            <w:shd w:val="clear" w:color="auto" w:fill="auto"/>
            <w:vAlign w:val="center"/>
          </w:tcPr>
          <w:p w14:paraId="348E8DCE">
            <w:pPr>
              <w:jc w:val="center"/>
              <w:rPr>
                <w:rFonts w:ascii="宋体" w:cs="宋体"/>
              </w:rPr>
            </w:pPr>
          </w:p>
        </w:tc>
        <w:tc>
          <w:tcPr>
            <w:tcW w:w="1134" w:type="dxa"/>
            <w:shd w:val="clear" w:color="auto" w:fill="auto"/>
            <w:vAlign w:val="center"/>
          </w:tcPr>
          <w:p w14:paraId="1DD27F82">
            <w:pPr>
              <w:jc w:val="center"/>
              <w:rPr>
                <w:rFonts w:ascii="宋体" w:cs="宋体"/>
              </w:rPr>
            </w:pPr>
          </w:p>
        </w:tc>
        <w:tc>
          <w:tcPr>
            <w:tcW w:w="1984" w:type="dxa"/>
            <w:shd w:val="clear" w:color="auto" w:fill="auto"/>
          </w:tcPr>
          <w:p w14:paraId="64F1DB90">
            <w:pPr>
              <w:jc w:val="center"/>
              <w:rPr>
                <w:rFonts w:ascii="宋体" w:cs="宋体"/>
              </w:rPr>
            </w:pPr>
          </w:p>
        </w:tc>
        <w:tc>
          <w:tcPr>
            <w:tcW w:w="851" w:type="dxa"/>
            <w:shd w:val="clear" w:color="auto" w:fill="auto"/>
            <w:vAlign w:val="center"/>
          </w:tcPr>
          <w:p w14:paraId="06622AE3">
            <w:pPr>
              <w:jc w:val="center"/>
              <w:rPr>
                <w:rFonts w:ascii="宋体" w:cs="宋体"/>
                <w:color w:val="FF0000"/>
              </w:rPr>
            </w:pPr>
          </w:p>
        </w:tc>
        <w:tc>
          <w:tcPr>
            <w:tcW w:w="850" w:type="dxa"/>
            <w:shd w:val="clear" w:color="auto" w:fill="auto"/>
            <w:vAlign w:val="center"/>
          </w:tcPr>
          <w:p w14:paraId="544D1C02">
            <w:pPr>
              <w:jc w:val="center"/>
              <w:rPr>
                <w:rFonts w:ascii="宋体" w:cs="宋体"/>
              </w:rPr>
            </w:pPr>
          </w:p>
        </w:tc>
        <w:tc>
          <w:tcPr>
            <w:tcW w:w="1560" w:type="dxa"/>
            <w:shd w:val="clear" w:color="auto" w:fill="auto"/>
            <w:vAlign w:val="center"/>
          </w:tcPr>
          <w:p w14:paraId="37394342">
            <w:pPr>
              <w:jc w:val="center"/>
              <w:rPr>
                <w:rFonts w:ascii="宋体" w:cs="宋体"/>
              </w:rPr>
            </w:pPr>
          </w:p>
        </w:tc>
        <w:tc>
          <w:tcPr>
            <w:tcW w:w="1275" w:type="dxa"/>
            <w:shd w:val="clear" w:color="auto" w:fill="auto"/>
          </w:tcPr>
          <w:p w14:paraId="0208E497">
            <w:pPr>
              <w:jc w:val="center"/>
              <w:rPr>
                <w:rFonts w:ascii="宋体" w:cs="宋体"/>
              </w:rPr>
            </w:pPr>
          </w:p>
        </w:tc>
        <w:tc>
          <w:tcPr>
            <w:tcW w:w="851" w:type="dxa"/>
            <w:shd w:val="clear" w:color="auto" w:fill="auto"/>
            <w:vAlign w:val="center"/>
          </w:tcPr>
          <w:p w14:paraId="55F6B4BD">
            <w:pPr>
              <w:jc w:val="center"/>
              <w:rPr>
                <w:rFonts w:ascii="宋体" w:cs="宋体"/>
              </w:rPr>
            </w:pPr>
          </w:p>
        </w:tc>
      </w:tr>
      <w:tr w14:paraId="7E0F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14:paraId="455A6E6A">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14:paraId="55414261">
            <w:pPr>
              <w:spacing w:line="360" w:lineRule="auto"/>
              <w:jc w:val="center"/>
              <w:rPr>
                <w:rFonts w:ascii="宋体" w:cs="宋体"/>
              </w:rPr>
            </w:pPr>
          </w:p>
        </w:tc>
        <w:tc>
          <w:tcPr>
            <w:tcW w:w="1303" w:type="dxa"/>
            <w:shd w:val="clear" w:color="auto" w:fill="auto"/>
            <w:vAlign w:val="center"/>
          </w:tcPr>
          <w:p w14:paraId="6ACC66C3">
            <w:pPr>
              <w:jc w:val="center"/>
              <w:rPr>
                <w:rFonts w:ascii="宋体" w:cs="宋体"/>
              </w:rPr>
            </w:pPr>
          </w:p>
        </w:tc>
        <w:tc>
          <w:tcPr>
            <w:tcW w:w="1843" w:type="dxa"/>
            <w:shd w:val="clear" w:color="auto" w:fill="auto"/>
            <w:vAlign w:val="center"/>
          </w:tcPr>
          <w:p w14:paraId="149E79DB">
            <w:pPr>
              <w:jc w:val="center"/>
              <w:rPr>
                <w:rFonts w:ascii="宋体" w:cs="宋体"/>
              </w:rPr>
            </w:pPr>
          </w:p>
        </w:tc>
        <w:tc>
          <w:tcPr>
            <w:tcW w:w="1134" w:type="dxa"/>
            <w:shd w:val="clear" w:color="auto" w:fill="auto"/>
            <w:vAlign w:val="center"/>
          </w:tcPr>
          <w:p w14:paraId="0AE748AC">
            <w:pPr>
              <w:jc w:val="center"/>
              <w:rPr>
                <w:rFonts w:ascii="宋体" w:cs="宋体"/>
              </w:rPr>
            </w:pPr>
          </w:p>
        </w:tc>
        <w:tc>
          <w:tcPr>
            <w:tcW w:w="1984" w:type="dxa"/>
            <w:shd w:val="clear" w:color="auto" w:fill="auto"/>
          </w:tcPr>
          <w:p w14:paraId="14C72AC4">
            <w:pPr>
              <w:jc w:val="center"/>
              <w:rPr>
                <w:rFonts w:ascii="宋体" w:cs="宋体"/>
              </w:rPr>
            </w:pPr>
          </w:p>
        </w:tc>
        <w:tc>
          <w:tcPr>
            <w:tcW w:w="851" w:type="dxa"/>
            <w:shd w:val="clear" w:color="auto" w:fill="auto"/>
            <w:vAlign w:val="center"/>
          </w:tcPr>
          <w:p w14:paraId="16432A4F">
            <w:pPr>
              <w:jc w:val="center"/>
              <w:rPr>
                <w:rFonts w:ascii="宋体" w:cs="宋体"/>
              </w:rPr>
            </w:pPr>
          </w:p>
        </w:tc>
        <w:tc>
          <w:tcPr>
            <w:tcW w:w="850" w:type="dxa"/>
            <w:shd w:val="clear" w:color="auto" w:fill="auto"/>
            <w:vAlign w:val="center"/>
          </w:tcPr>
          <w:p w14:paraId="1ADA97A2">
            <w:pPr>
              <w:jc w:val="center"/>
              <w:rPr>
                <w:rFonts w:ascii="宋体" w:cs="宋体"/>
              </w:rPr>
            </w:pPr>
          </w:p>
        </w:tc>
        <w:tc>
          <w:tcPr>
            <w:tcW w:w="1560" w:type="dxa"/>
            <w:shd w:val="clear" w:color="auto" w:fill="auto"/>
            <w:vAlign w:val="center"/>
          </w:tcPr>
          <w:p w14:paraId="3B39E759">
            <w:pPr>
              <w:jc w:val="center"/>
              <w:rPr>
                <w:rFonts w:ascii="宋体" w:cs="宋体"/>
              </w:rPr>
            </w:pPr>
          </w:p>
        </w:tc>
        <w:tc>
          <w:tcPr>
            <w:tcW w:w="1275" w:type="dxa"/>
            <w:shd w:val="clear" w:color="auto" w:fill="auto"/>
          </w:tcPr>
          <w:p w14:paraId="230C093C">
            <w:pPr>
              <w:jc w:val="center"/>
              <w:rPr>
                <w:rFonts w:ascii="宋体" w:cs="宋体"/>
              </w:rPr>
            </w:pPr>
          </w:p>
        </w:tc>
        <w:tc>
          <w:tcPr>
            <w:tcW w:w="851" w:type="dxa"/>
            <w:shd w:val="clear" w:color="auto" w:fill="auto"/>
            <w:vAlign w:val="center"/>
          </w:tcPr>
          <w:p w14:paraId="36C16F13">
            <w:pPr>
              <w:jc w:val="center"/>
              <w:rPr>
                <w:rFonts w:ascii="宋体" w:cs="宋体"/>
              </w:rPr>
            </w:pPr>
          </w:p>
        </w:tc>
      </w:tr>
      <w:tr w14:paraId="2D1A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14:paraId="4C920F73">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14:paraId="4C25723A">
            <w:pPr>
              <w:spacing w:line="360" w:lineRule="auto"/>
              <w:jc w:val="center"/>
              <w:rPr>
                <w:rFonts w:ascii="宋体" w:cs="宋体"/>
              </w:rPr>
            </w:pPr>
          </w:p>
        </w:tc>
        <w:tc>
          <w:tcPr>
            <w:tcW w:w="1303" w:type="dxa"/>
            <w:shd w:val="clear" w:color="auto" w:fill="auto"/>
            <w:vAlign w:val="center"/>
          </w:tcPr>
          <w:p w14:paraId="761C927E">
            <w:pPr>
              <w:jc w:val="center"/>
              <w:rPr>
                <w:rFonts w:ascii="宋体" w:cs="宋体"/>
              </w:rPr>
            </w:pPr>
          </w:p>
        </w:tc>
        <w:tc>
          <w:tcPr>
            <w:tcW w:w="1843" w:type="dxa"/>
            <w:shd w:val="clear" w:color="auto" w:fill="auto"/>
            <w:vAlign w:val="center"/>
          </w:tcPr>
          <w:p w14:paraId="736C7E6E">
            <w:pPr>
              <w:jc w:val="center"/>
              <w:rPr>
                <w:rFonts w:ascii="宋体" w:cs="宋体"/>
              </w:rPr>
            </w:pPr>
          </w:p>
        </w:tc>
        <w:tc>
          <w:tcPr>
            <w:tcW w:w="1134" w:type="dxa"/>
            <w:shd w:val="clear" w:color="auto" w:fill="auto"/>
            <w:vAlign w:val="center"/>
          </w:tcPr>
          <w:p w14:paraId="72375234">
            <w:pPr>
              <w:jc w:val="center"/>
              <w:rPr>
                <w:rFonts w:ascii="宋体" w:cs="宋体"/>
              </w:rPr>
            </w:pPr>
          </w:p>
        </w:tc>
        <w:tc>
          <w:tcPr>
            <w:tcW w:w="1984" w:type="dxa"/>
            <w:shd w:val="clear" w:color="auto" w:fill="auto"/>
          </w:tcPr>
          <w:p w14:paraId="2F2B38EA">
            <w:pPr>
              <w:jc w:val="center"/>
              <w:rPr>
                <w:rFonts w:ascii="宋体" w:cs="宋体"/>
              </w:rPr>
            </w:pPr>
          </w:p>
        </w:tc>
        <w:tc>
          <w:tcPr>
            <w:tcW w:w="851" w:type="dxa"/>
            <w:shd w:val="clear" w:color="auto" w:fill="auto"/>
            <w:vAlign w:val="center"/>
          </w:tcPr>
          <w:p w14:paraId="7261FCAC">
            <w:pPr>
              <w:jc w:val="center"/>
              <w:rPr>
                <w:rFonts w:ascii="宋体" w:cs="宋体"/>
              </w:rPr>
            </w:pPr>
          </w:p>
        </w:tc>
        <w:tc>
          <w:tcPr>
            <w:tcW w:w="850" w:type="dxa"/>
            <w:shd w:val="clear" w:color="auto" w:fill="auto"/>
            <w:vAlign w:val="center"/>
          </w:tcPr>
          <w:p w14:paraId="35A62C05">
            <w:pPr>
              <w:jc w:val="center"/>
              <w:rPr>
                <w:rFonts w:ascii="宋体" w:cs="宋体"/>
              </w:rPr>
            </w:pPr>
          </w:p>
        </w:tc>
        <w:tc>
          <w:tcPr>
            <w:tcW w:w="1560" w:type="dxa"/>
            <w:shd w:val="clear" w:color="auto" w:fill="auto"/>
            <w:vAlign w:val="center"/>
          </w:tcPr>
          <w:p w14:paraId="50D7997F">
            <w:pPr>
              <w:jc w:val="center"/>
              <w:rPr>
                <w:rFonts w:ascii="宋体" w:cs="宋体"/>
              </w:rPr>
            </w:pPr>
          </w:p>
        </w:tc>
        <w:tc>
          <w:tcPr>
            <w:tcW w:w="1275" w:type="dxa"/>
            <w:shd w:val="clear" w:color="auto" w:fill="auto"/>
          </w:tcPr>
          <w:p w14:paraId="3D55D803">
            <w:pPr>
              <w:jc w:val="center"/>
              <w:rPr>
                <w:rFonts w:ascii="宋体" w:cs="宋体"/>
              </w:rPr>
            </w:pPr>
          </w:p>
        </w:tc>
        <w:tc>
          <w:tcPr>
            <w:tcW w:w="851" w:type="dxa"/>
            <w:shd w:val="clear" w:color="auto" w:fill="auto"/>
            <w:vAlign w:val="center"/>
          </w:tcPr>
          <w:p w14:paraId="7EC684F0">
            <w:pPr>
              <w:jc w:val="center"/>
              <w:rPr>
                <w:rFonts w:ascii="宋体" w:cs="宋体"/>
              </w:rPr>
            </w:pPr>
          </w:p>
        </w:tc>
      </w:tr>
      <w:tr w14:paraId="14DD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14:paraId="7C37CB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14:paraId="2F6BD4E4">
            <w:pPr>
              <w:spacing w:line="360" w:lineRule="auto"/>
              <w:jc w:val="center"/>
              <w:rPr>
                <w:rFonts w:ascii="宋体" w:cs="宋体"/>
              </w:rPr>
            </w:pPr>
          </w:p>
        </w:tc>
        <w:tc>
          <w:tcPr>
            <w:tcW w:w="1303" w:type="dxa"/>
            <w:shd w:val="clear" w:color="auto" w:fill="auto"/>
            <w:vAlign w:val="center"/>
          </w:tcPr>
          <w:p w14:paraId="59968480">
            <w:pPr>
              <w:jc w:val="center"/>
              <w:rPr>
                <w:rFonts w:ascii="宋体" w:cs="宋体"/>
              </w:rPr>
            </w:pPr>
          </w:p>
        </w:tc>
        <w:tc>
          <w:tcPr>
            <w:tcW w:w="1843" w:type="dxa"/>
            <w:shd w:val="clear" w:color="auto" w:fill="auto"/>
            <w:vAlign w:val="center"/>
          </w:tcPr>
          <w:p w14:paraId="5549495A">
            <w:pPr>
              <w:jc w:val="center"/>
              <w:rPr>
                <w:rFonts w:ascii="宋体" w:cs="宋体"/>
              </w:rPr>
            </w:pPr>
          </w:p>
        </w:tc>
        <w:tc>
          <w:tcPr>
            <w:tcW w:w="1134" w:type="dxa"/>
            <w:shd w:val="clear" w:color="auto" w:fill="auto"/>
            <w:vAlign w:val="center"/>
          </w:tcPr>
          <w:p w14:paraId="39D885B3">
            <w:pPr>
              <w:jc w:val="center"/>
              <w:rPr>
                <w:rFonts w:ascii="宋体" w:cs="宋体"/>
              </w:rPr>
            </w:pPr>
          </w:p>
        </w:tc>
        <w:tc>
          <w:tcPr>
            <w:tcW w:w="1984" w:type="dxa"/>
            <w:shd w:val="clear" w:color="auto" w:fill="auto"/>
          </w:tcPr>
          <w:p w14:paraId="2323A93F">
            <w:pPr>
              <w:jc w:val="center"/>
              <w:rPr>
                <w:rFonts w:ascii="宋体" w:cs="宋体"/>
              </w:rPr>
            </w:pPr>
          </w:p>
        </w:tc>
        <w:tc>
          <w:tcPr>
            <w:tcW w:w="851" w:type="dxa"/>
            <w:shd w:val="clear" w:color="auto" w:fill="auto"/>
            <w:vAlign w:val="center"/>
          </w:tcPr>
          <w:p w14:paraId="7C4F0495">
            <w:pPr>
              <w:jc w:val="center"/>
              <w:rPr>
                <w:rFonts w:ascii="宋体" w:cs="宋体"/>
              </w:rPr>
            </w:pPr>
          </w:p>
        </w:tc>
        <w:tc>
          <w:tcPr>
            <w:tcW w:w="850" w:type="dxa"/>
            <w:shd w:val="clear" w:color="auto" w:fill="auto"/>
            <w:vAlign w:val="center"/>
          </w:tcPr>
          <w:p w14:paraId="1A05950F">
            <w:pPr>
              <w:jc w:val="center"/>
              <w:rPr>
                <w:rFonts w:ascii="宋体" w:cs="宋体"/>
              </w:rPr>
            </w:pPr>
          </w:p>
        </w:tc>
        <w:tc>
          <w:tcPr>
            <w:tcW w:w="1560" w:type="dxa"/>
            <w:shd w:val="clear" w:color="auto" w:fill="auto"/>
            <w:vAlign w:val="center"/>
          </w:tcPr>
          <w:p w14:paraId="483C525D">
            <w:pPr>
              <w:jc w:val="center"/>
              <w:rPr>
                <w:rFonts w:ascii="宋体" w:cs="宋体"/>
              </w:rPr>
            </w:pPr>
          </w:p>
        </w:tc>
        <w:tc>
          <w:tcPr>
            <w:tcW w:w="1275" w:type="dxa"/>
            <w:shd w:val="clear" w:color="auto" w:fill="auto"/>
          </w:tcPr>
          <w:p w14:paraId="5742A333">
            <w:pPr>
              <w:jc w:val="center"/>
              <w:rPr>
                <w:rFonts w:ascii="宋体" w:cs="宋体"/>
              </w:rPr>
            </w:pPr>
          </w:p>
        </w:tc>
        <w:tc>
          <w:tcPr>
            <w:tcW w:w="851" w:type="dxa"/>
            <w:shd w:val="clear" w:color="auto" w:fill="auto"/>
            <w:vAlign w:val="center"/>
          </w:tcPr>
          <w:p w14:paraId="4C11E559">
            <w:pPr>
              <w:jc w:val="center"/>
              <w:rPr>
                <w:rFonts w:ascii="宋体" w:cs="宋体"/>
              </w:rPr>
            </w:pPr>
          </w:p>
        </w:tc>
      </w:tr>
      <w:tr w14:paraId="0084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14:paraId="464EAD6B">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14:paraId="5907679D">
            <w:pPr>
              <w:spacing w:line="360" w:lineRule="auto"/>
              <w:jc w:val="center"/>
              <w:rPr>
                <w:rFonts w:ascii="宋体" w:cs="宋体"/>
              </w:rPr>
            </w:pPr>
          </w:p>
        </w:tc>
        <w:tc>
          <w:tcPr>
            <w:tcW w:w="1303" w:type="dxa"/>
            <w:shd w:val="clear" w:color="auto" w:fill="auto"/>
            <w:vAlign w:val="center"/>
          </w:tcPr>
          <w:p w14:paraId="79ECC06B">
            <w:pPr>
              <w:jc w:val="center"/>
              <w:rPr>
                <w:rFonts w:ascii="宋体" w:cs="宋体"/>
              </w:rPr>
            </w:pPr>
          </w:p>
        </w:tc>
        <w:tc>
          <w:tcPr>
            <w:tcW w:w="1843" w:type="dxa"/>
            <w:shd w:val="clear" w:color="auto" w:fill="auto"/>
            <w:vAlign w:val="center"/>
          </w:tcPr>
          <w:p w14:paraId="18814AB0">
            <w:pPr>
              <w:jc w:val="center"/>
              <w:rPr>
                <w:rFonts w:ascii="宋体" w:cs="宋体"/>
              </w:rPr>
            </w:pPr>
          </w:p>
        </w:tc>
        <w:tc>
          <w:tcPr>
            <w:tcW w:w="1134" w:type="dxa"/>
            <w:shd w:val="clear" w:color="auto" w:fill="auto"/>
            <w:vAlign w:val="center"/>
          </w:tcPr>
          <w:p w14:paraId="3FADC812">
            <w:pPr>
              <w:jc w:val="center"/>
              <w:rPr>
                <w:rFonts w:ascii="宋体" w:cs="宋体"/>
              </w:rPr>
            </w:pPr>
          </w:p>
        </w:tc>
        <w:tc>
          <w:tcPr>
            <w:tcW w:w="1984" w:type="dxa"/>
            <w:shd w:val="clear" w:color="auto" w:fill="auto"/>
          </w:tcPr>
          <w:p w14:paraId="6C423702">
            <w:pPr>
              <w:jc w:val="center"/>
              <w:rPr>
                <w:rFonts w:ascii="宋体" w:cs="宋体"/>
              </w:rPr>
            </w:pPr>
          </w:p>
        </w:tc>
        <w:tc>
          <w:tcPr>
            <w:tcW w:w="851" w:type="dxa"/>
            <w:shd w:val="clear" w:color="auto" w:fill="auto"/>
            <w:vAlign w:val="center"/>
          </w:tcPr>
          <w:p w14:paraId="31387F0F">
            <w:pPr>
              <w:jc w:val="center"/>
              <w:rPr>
                <w:rFonts w:ascii="宋体" w:cs="宋体"/>
              </w:rPr>
            </w:pPr>
          </w:p>
        </w:tc>
        <w:tc>
          <w:tcPr>
            <w:tcW w:w="850" w:type="dxa"/>
            <w:shd w:val="clear" w:color="auto" w:fill="auto"/>
            <w:vAlign w:val="center"/>
          </w:tcPr>
          <w:p w14:paraId="2B400D33">
            <w:pPr>
              <w:jc w:val="center"/>
              <w:rPr>
                <w:rFonts w:ascii="宋体" w:cs="宋体"/>
              </w:rPr>
            </w:pPr>
          </w:p>
        </w:tc>
        <w:tc>
          <w:tcPr>
            <w:tcW w:w="1560" w:type="dxa"/>
            <w:shd w:val="clear" w:color="auto" w:fill="auto"/>
            <w:vAlign w:val="center"/>
          </w:tcPr>
          <w:p w14:paraId="10D45792">
            <w:pPr>
              <w:jc w:val="center"/>
              <w:rPr>
                <w:rFonts w:ascii="宋体" w:cs="宋体"/>
              </w:rPr>
            </w:pPr>
          </w:p>
        </w:tc>
        <w:tc>
          <w:tcPr>
            <w:tcW w:w="1275" w:type="dxa"/>
            <w:shd w:val="clear" w:color="auto" w:fill="auto"/>
          </w:tcPr>
          <w:p w14:paraId="5A7E384A">
            <w:pPr>
              <w:jc w:val="center"/>
              <w:rPr>
                <w:rFonts w:ascii="宋体" w:cs="宋体"/>
              </w:rPr>
            </w:pPr>
          </w:p>
        </w:tc>
        <w:tc>
          <w:tcPr>
            <w:tcW w:w="851" w:type="dxa"/>
            <w:shd w:val="clear" w:color="auto" w:fill="auto"/>
            <w:vAlign w:val="center"/>
          </w:tcPr>
          <w:p w14:paraId="38AB4948">
            <w:pPr>
              <w:jc w:val="center"/>
              <w:rPr>
                <w:rFonts w:ascii="宋体" w:cs="宋体"/>
              </w:rPr>
            </w:pPr>
          </w:p>
        </w:tc>
      </w:tr>
    </w:tbl>
    <w:p w14:paraId="284C3F7C">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14:paraId="690A4BD2">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14:paraId="3CDD53BA">
      <w:pPr>
        <w:pStyle w:val="36"/>
        <w:ind w:firstLine="0" w:firstLineChars="0"/>
        <w:rPr>
          <w:rFonts w:cs="Times New Roman"/>
        </w:rPr>
      </w:pPr>
    </w:p>
    <w:p w14:paraId="4FFA8707">
      <w:pPr>
        <w:pStyle w:val="36"/>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14:paraId="7C92A53F">
      <w:pPr>
        <w:pStyle w:val="4"/>
        <w:adjustRightInd w:val="0"/>
        <w:snapToGrid w:val="0"/>
        <w:spacing w:line="360" w:lineRule="auto"/>
        <w:jc w:val="center"/>
        <w:rPr>
          <w:rFonts w:ascii="黑体" w:hAnsi="黑体" w:eastAsia="黑体"/>
          <w:b w:val="0"/>
          <w:sz w:val="32"/>
          <w:szCs w:val="32"/>
        </w:rPr>
      </w:pPr>
      <w:bookmarkStart w:id="41" w:name="_Toc50691023"/>
      <w:bookmarkStart w:id="42" w:name="_Toc454458060"/>
      <w:bookmarkStart w:id="43" w:name="_Toc50736470"/>
      <w:bookmarkStart w:id="44" w:name="_Toc50737322"/>
      <w:bookmarkStart w:id="45" w:name="_Toc87417452"/>
      <w:bookmarkStart w:id="46" w:name="_Toc50737290"/>
      <w:bookmarkStart w:id="47" w:name="_Toc43264513"/>
      <w:r>
        <w:rPr>
          <w:rFonts w:hint="eastAsia" w:ascii="黑体" w:hAnsi="黑体" w:eastAsia="黑体" w:cs="宋体"/>
          <w:b w:val="0"/>
          <w:sz w:val="32"/>
          <w:szCs w:val="32"/>
        </w:rPr>
        <w:t>第四章 合同</w:t>
      </w:r>
      <w:bookmarkEnd w:id="41"/>
      <w:bookmarkEnd w:id="42"/>
      <w:bookmarkEnd w:id="43"/>
      <w:bookmarkEnd w:id="44"/>
      <w:bookmarkEnd w:id="45"/>
      <w:bookmarkEnd w:id="46"/>
      <w:r>
        <w:rPr>
          <w:rFonts w:hint="eastAsia" w:ascii="黑体" w:hAnsi="黑体" w:eastAsia="黑体" w:cs="宋体"/>
          <w:b w:val="0"/>
          <w:sz w:val="32"/>
          <w:szCs w:val="32"/>
        </w:rPr>
        <w:t>格式</w:t>
      </w:r>
    </w:p>
    <w:p w14:paraId="4051494C">
      <w:pPr>
        <w:adjustRightInd w:val="0"/>
        <w:snapToGrid w:val="0"/>
        <w:jc w:val="left"/>
        <w:rPr>
          <w:rFonts w:ascii="宋体" w:hAnsi="Times New Roman" w:cs="宋体"/>
          <w:b/>
          <w:sz w:val="24"/>
        </w:rPr>
      </w:pPr>
    </w:p>
    <w:p w14:paraId="7BB513C8">
      <w:pPr>
        <w:jc w:val="center"/>
        <w:rPr>
          <w:sz w:val="72"/>
          <w:szCs w:val="144"/>
        </w:rPr>
      </w:pPr>
      <w:r>
        <w:rPr>
          <w:rFonts w:hint="eastAsia"/>
          <w:sz w:val="72"/>
          <w:szCs w:val="144"/>
        </w:rPr>
        <w:t>合同书</w:t>
      </w:r>
    </w:p>
    <w:p w14:paraId="6454A65F">
      <w:pPr>
        <w:jc w:val="left"/>
        <w:rPr>
          <w:sz w:val="72"/>
          <w:szCs w:val="144"/>
        </w:rPr>
      </w:pPr>
    </w:p>
    <w:p w14:paraId="389BBEC8">
      <w:pPr>
        <w:jc w:val="left"/>
        <w:rPr>
          <w:sz w:val="72"/>
          <w:szCs w:val="144"/>
        </w:rPr>
      </w:pPr>
    </w:p>
    <w:p w14:paraId="673DBF66">
      <w:pPr>
        <w:jc w:val="left"/>
        <w:rPr>
          <w:sz w:val="72"/>
          <w:szCs w:val="144"/>
        </w:rPr>
      </w:pPr>
    </w:p>
    <w:p w14:paraId="60C5D5BD">
      <w:pPr>
        <w:jc w:val="left"/>
        <w:rPr>
          <w:sz w:val="72"/>
          <w:szCs w:val="144"/>
        </w:rPr>
      </w:pPr>
    </w:p>
    <w:p w14:paraId="25F2517B">
      <w:pPr>
        <w:jc w:val="left"/>
        <w:rPr>
          <w:sz w:val="72"/>
          <w:szCs w:val="144"/>
        </w:rPr>
      </w:pPr>
    </w:p>
    <w:p w14:paraId="57ED0F34">
      <w:pPr>
        <w:ind w:left="279" w:leftChars="133" w:firstLine="281" w:firstLineChars="100"/>
        <w:jc w:val="left"/>
        <w:rPr>
          <w:sz w:val="28"/>
          <w:szCs w:val="28"/>
        </w:rPr>
      </w:pPr>
      <w:r>
        <w:rPr>
          <w:rFonts w:hint="eastAsia"/>
          <w:b/>
          <w:bCs/>
          <w:sz w:val="28"/>
          <w:szCs w:val="28"/>
        </w:rPr>
        <w:t>采购编号</w:t>
      </w:r>
      <w:r>
        <w:rPr>
          <w:rFonts w:hint="eastAsia"/>
          <w:sz w:val="28"/>
          <w:szCs w:val="28"/>
        </w:rPr>
        <w:t>：</w:t>
      </w:r>
      <w:r>
        <w:rPr>
          <w:rFonts w:hint="eastAsia"/>
          <w:sz w:val="28"/>
          <w:szCs w:val="28"/>
          <w:u w:val="single"/>
        </w:rPr>
        <w:t xml:space="preserve">                                     </w:t>
      </w:r>
    </w:p>
    <w:p w14:paraId="32FD1F0F">
      <w:pPr>
        <w:ind w:left="840" w:hanging="840" w:hangingChars="300"/>
        <w:jc w:val="left"/>
        <w:rPr>
          <w:sz w:val="28"/>
          <w:szCs w:val="28"/>
        </w:rPr>
      </w:pPr>
    </w:p>
    <w:p w14:paraId="53962C53">
      <w:pPr>
        <w:ind w:firstLine="562" w:firstLineChars="200"/>
        <w:jc w:val="left"/>
        <w:rPr>
          <w:sz w:val="28"/>
          <w:szCs w:val="28"/>
        </w:rPr>
      </w:pPr>
      <w:r>
        <w:rPr>
          <w:rFonts w:hint="eastAsia"/>
          <w:b/>
          <w:bCs/>
          <w:sz w:val="28"/>
          <w:szCs w:val="28"/>
        </w:rPr>
        <w:t>项目名称</w:t>
      </w:r>
      <w:r>
        <w:rPr>
          <w:rFonts w:hint="eastAsia"/>
          <w:sz w:val="28"/>
          <w:szCs w:val="28"/>
        </w:rPr>
        <w:t>：</w:t>
      </w:r>
    </w:p>
    <w:p w14:paraId="74104787">
      <w:pPr>
        <w:ind w:left="840" w:hanging="840" w:hangingChars="300"/>
        <w:jc w:val="left"/>
        <w:rPr>
          <w:sz w:val="28"/>
          <w:szCs w:val="28"/>
        </w:rPr>
      </w:pPr>
    </w:p>
    <w:p w14:paraId="7EC7ADB0">
      <w:pPr>
        <w:ind w:left="840" w:leftChars="266" w:hanging="281" w:hangingChars="100"/>
        <w:jc w:val="left"/>
        <w:rPr>
          <w:sz w:val="28"/>
          <w:szCs w:val="28"/>
        </w:rPr>
      </w:pPr>
      <w:r>
        <w:rPr>
          <w:rFonts w:hint="eastAsia"/>
          <w:b/>
          <w:bCs/>
          <w:sz w:val="28"/>
          <w:szCs w:val="28"/>
        </w:rPr>
        <w:t>采购人（甲方）：</w:t>
      </w:r>
      <w:r>
        <w:rPr>
          <w:rFonts w:hint="eastAsia"/>
          <w:sz w:val="28"/>
          <w:szCs w:val="28"/>
          <w:u w:val="single"/>
        </w:rPr>
        <w:t>广西南宁技师学院</w:t>
      </w:r>
      <w:r>
        <w:rPr>
          <w:rFonts w:hint="eastAsia"/>
          <w:sz w:val="28"/>
          <w:szCs w:val="28"/>
        </w:rPr>
        <w:br w:type="textWrapping"/>
      </w:r>
    </w:p>
    <w:p w14:paraId="3EAF4FFB">
      <w:pPr>
        <w:ind w:firstLine="562" w:firstLineChars="200"/>
        <w:jc w:val="left"/>
        <w:rPr>
          <w:sz w:val="28"/>
          <w:szCs w:val="28"/>
        </w:rPr>
      </w:pPr>
      <w:r>
        <w:rPr>
          <w:rFonts w:hint="eastAsia"/>
          <w:b/>
          <w:bCs/>
          <w:sz w:val="28"/>
          <w:szCs w:val="28"/>
        </w:rPr>
        <w:t>成交供应商名称（乙方）：</w:t>
      </w:r>
      <w:r>
        <w:rPr>
          <w:rFonts w:hint="eastAsia"/>
          <w:b/>
          <w:bCs/>
          <w:sz w:val="28"/>
          <w:szCs w:val="28"/>
          <w:u w:val="single"/>
        </w:rPr>
        <w:t xml:space="preserve">                       </w:t>
      </w:r>
      <w:r>
        <w:rPr>
          <w:rFonts w:hint="eastAsia"/>
          <w:sz w:val="28"/>
          <w:szCs w:val="28"/>
        </w:rPr>
        <w:br w:type="textWrapping"/>
      </w:r>
    </w:p>
    <w:p w14:paraId="7FEFA720">
      <w:pPr>
        <w:ind w:firstLine="562" w:firstLineChars="200"/>
        <w:jc w:val="left"/>
        <w:rPr>
          <w:sz w:val="28"/>
          <w:szCs w:val="28"/>
          <w:u w:val="single"/>
        </w:rPr>
        <w:sectPr>
          <w:pgSz w:w="11906" w:h="16838"/>
          <w:pgMar w:top="1440" w:right="1800" w:bottom="1440" w:left="1800" w:header="851" w:footer="992" w:gutter="0"/>
          <w:cols w:space="425" w:num="1"/>
          <w:docGrid w:type="lines" w:linePitch="312" w:charSpace="0"/>
        </w:sectPr>
      </w:pPr>
      <w:r>
        <w:rPr>
          <w:rFonts w:hint="eastAsia"/>
          <w:b/>
          <w:bCs/>
          <w:sz w:val="28"/>
          <w:szCs w:val="28"/>
        </w:rPr>
        <w:t>合同签订时间：</w:t>
      </w:r>
      <w:r>
        <w:rPr>
          <w:rFonts w:hint="eastAsia"/>
          <w:b/>
          <w:bCs/>
          <w:sz w:val="28"/>
          <w:szCs w:val="28"/>
          <w:u w:val="single"/>
        </w:rPr>
        <w:t xml:space="preserve">      </w:t>
      </w:r>
      <w:r>
        <w:rPr>
          <w:rFonts w:hint="eastAsia"/>
          <w:sz w:val="28"/>
          <w:szCs w:val="28"/>
          <w:u w:val="single"/>
        </w:rPr>
        <w:t>年     月     日</w:t>
      </w:r>
    </w:p>
    <w:p w14:paraId="30E6314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广西南宁技师学</w:t>
      </w:r>
      <w:r>
        <w:rPr>
          <w:rFonts w:hint="eastAsia" w:ascii="宋体" w:hAnsi="宋体" w:eastAsia="宋体" w:cs="宋体"/>
          <w:b/>
          <w:bCs/>
          <w:color w:val="auto"/>
          <w:kern w:val="2"/>
          <w:sz w:val="21"/>
          <w:szCs w:val="21"/>
          <w:lang w:val="en-US" w:eastAsia="zh-CN" w:bidi="ar-SA"/>
        </w:rPr>
        <w:t>院202</w:t>
      </w:r>
      <w:r>
        <w:rPr>
          <w:rFonts w:hint="eastAsia" w:cs="宋体"/>
          <w:b/>
          <w:bCs/>
          <w:color w:val="auto"/>
          <w:kern w:val="2"/>
          <w:sz w:val="21"/>
          <w:szCs w:val="21"/>
          <w:lang w:val="en-US" w:eastAsia="zh-CN" w:bidi="ar-SA"/>
        </w:rPr>
        <w:t>5</w:t>
      </w:r>
      <w:r>
        <w:rPr>
          <w:rFonts w:hint="eastAsia" w:ascii="宋体" w:hAnsi="宋体" w:eastAsia="宋体" w:cs="宋体"/>
          <w:b/>
          <w:bCs/>
          <w:color w:val="auto"/>
          <w:kern w:val="2"/>
          <w:sz w:val="21"/>
          <w:szCs w:val="21"/>
          <w:lang w:val="en-US" w:eastAsia="zh-CN" w:bidi="ar-SA"/>
        </w:rPr>
        <w:t>年</w:t>
      </w:r>
      <w:r>
        <w:rPr>
          <w:rFonts w:hint="eastAsia" w:ascii="宋体" w:hAnsi="宋体" w:eastAsia="宋体" w:cs="宋体"/>
          <w:b/>
          <w:bCs/>
          <w:color w:val="000000"/>
          <w:kern w:val="2"/>
          <w:sz w:val="21"/>
          <w:szCs w:val="21"/>
          <w:lang w:val="en-US" w:eastAsia="zh-CN" w:bidi="ar-SA"/>
        </w:rPr>
        <w:t>“四害”及红火蚁、隐翅虫、臭虫防治服务合同书</w:t>
      </w:r>
    </w:p>
    <w:p w14:paraId="5D79775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p>
    <w:p w14:paraId="4859BD6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甲方:广西南宁技师学院</w:t>
      </w:r>
    </w:p>
    <w:p w14:paraId="345ECA8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乙方:</w:t>
      </w:r>
    </w:p>
    <w:p w14:paraId="01D829A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甲方委托乙方提供“四害”及红火蚁、隐翅虫、臭虫防治服务，并向乙方支付相应的服务报酬。根据《中华人民共和国民法典》的规定，双方经过平等协商达成，达成如下协议，以供双方共同遵守。</w:t>
      </w:r>
    </w:p>
    <w:p w14:paraId="52C14CF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一、防治地点(范围)</w:t>
      </w:r>
    </w:p>
    <w:p w14:paraId="658D36C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(一)“四害”防治地点(范围):广西南宁技师学院所辖校园区域。</w:t>
      </w:r>
    </w:p>
    <w:p w14:paraId="728FAE0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(二)红火蚁、隐翅虫、臭虫防治地点(范围):广西南宁技师学院新校区(南宁市西乡塘区大学西路157号)</w:t>
      </w:r>
    </w:p>
    <w:p w14:paraId="1D1703C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二、防治项目:灭鼠、蚊、蝇、蟑螂、红火蚁、臭虫、隐翅虫。</w:t>
      </w:r>
    </w:p>
    <w:p w14:paraId="77AA728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三、防治频次</w:t>
      </w:r>
    </w:p>
    <w:p w14:paraId="43D9583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(一)“四害”防治频次:</w:t>
      </w:r>
    </w:p>
    <w:p w14:paraId="31B7A59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灭鼠:新校区、二轻校区每月根据老鼠活动情况及时投药消杀；一轻校区、财经校区、南技校区每两个月根据老鼠活动情况及时投药消杀。</w:t>
      </w:r>
    </w:p>
    <w:p w14:paraId="4317DB4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r>
        <w:rPr>
          <w:rFonts w:hint="eastAsia"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新校区、二轻校区每月进行一次喷药消杀蟑螂、蝇、蚊，发现虫情可随叫随到；一轻校区、财经校区、南技校区每两个月进行一次喷药消杀蟑螂、蝇、蚊，发现虫情可随叫随到。</w:t>
      </w:r>
    </w:p>
    <w:p w14:paraId="6FAD7FD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(二)红火蚁、隐翅虫、臭虫防治频次:每月全面排查进行1次喷药消杀，发现虫情可随叫随到。</w:t>
      </w:r>
    </w:p>
    <w:p w14:paraId="7D4EEB8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四、防治措施</w:t>
      </w:r>
    </w:p>
    <w:p w14:paraId="1E95E17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FF0000"/>
          <w:kern w:val="2"/>
          <w:sz w:val="21"/>
          <w:szCs w:val="21"/>
          <w:lang w:val="en-US" w:eastAsia="zh-CN" w:bidi="ar-SA"/>
        </w:rPr>
        <w:t>(一)</w:t>
      </w:r>
      <w:r>
        <w:rPr>
          <w:rFonts w:hint="eastAsia" w:ascii="宋体" w:hAnsi="宋体" w:eastAsia="宋体" w:cs="宋体"/>
          <w:color w:val="000000"/>
          <w:kern w:val="2"/>
          <w:sz w:val="21"/>
          <w:szCs w:val="21"/>
          <w:lang w:val="en-US" w:eastAsia="zh-CN" w:bidi="ar-SA"/>
        </w:rPr>
        <w:t>灭鼠措施:</w:t>
      </w:r>
    </w:p>
    <w:p w14:paraId="54AB931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环境防治</w:t>
      </w:r>
    </w:p>
    <w:p w14:paraId="3E3DA52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对于门窗、下水道口等鼠类活动的主要场所要加强完善防鼠设施，把通往建筑物内的洞口堵死，防止鼠类自由出入。</w:t>
      </w:r>
    </w:p>
    <w:p w14:paraId="61DE832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堵塞鼠洞,尽可能破坏老鼠在室内外的栖息环境，有效控制繁殖量和降低鼠密度。</w:t>
      </w:r>
    </w:p>
    <w:p w14:paraId="319B07E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药物防冶</w:t>
      </w:r>
    </w:p>
    <w:p w14:paraId="47EF23A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准备工作</w:t>
      </w:r>
    </w:p>
    <w:p w14:paraId="373D532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①灭前鼠密度调查:通过粉迹法或饵料消耗法查清鼠密度及老鼠活动的主要场所、鼠道走向，为提高投药的准确性及确定防治重点作好准备。</w:t>
      </w:r>
    </w:p>
    <w:p w14:paraId="529768A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②选配饵料:通过饵料消耗法调查了解鼠类对备选饵料的适口性，确定应用的饵料,并选用国家允许使用的慢性抗凝血灭鼠剂配制成适口性好毒饵，以便大限度提高鼠类取食率。</w:t>
      </w:r>
    </w:p>
    <w:p w14:paraId="1216ECA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投药灭鼠操作步骤</w:t>
      </w:r>
    </w:p>
    <w:p w14:paraId="0206BD0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鼠类在不同季节、气候对各种饵料的适口性不一样，根据这一特性，选用不同的药物、饵料，按照不同的浓度配制成各种毒饵(谷物、蜡块、粉粒、毒水)，例如:早春季节，天气较潮湿，就要选择耐水性好，不易发霉的饵料，到深秋季节，气候干燥，则选用含水分较多的饵料，以增强鼠类的适口性。下水道则选择耐水冲刷，耐腐蚀的蜡块等:以达到灭鼠最佳效果。</w:t>
      </w:r>
    </w:p>
    <w:p w14:paraId="2082B57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①沿围墙、建筑物周围或有明显鼠道的场所，在不影响环境美观的情况下，采取隐蔽性投药法，灭鼠盒投药灭鼠。</w:t>
      </w:r>
    </w:p>
    <w:p w14:paraId="5087C8A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②如有外环境，则处理外环境鼠洞，选用环保型挥发性灭鼠剂进行洞口堵塞，让老鼠直接死于洞内。</w:t>
      </w:r>
    </w:p>
    <w:p w14:paraId="03F8968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③根据各个灭鼠场所的具体情况，对各场所选用不同的灭鼠毒饵及投药方式，在不影响环境整洁、美观的情况下，进行隐蔽性投药；任何条件下都应在保证安全卫生的前提下投放鼠药，确保卫生安全，又能达到灭鼠的效果。</w:t>
      </w:r>
    </w:p>
    <w:p w14:paraId="05376A5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④在不适宜用药物防治的情况下，则采用物理法(鼠夹法、鼠胶、鼠笼法)防治，保证不构成污染及不造成人员误食中毒。</w:t>
      </w:r>
    </w:p>
    <w:p w14:paraId="0A0F036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⑤每次投药灭鼠要进行3一4天的连续投药，每天早上观察毒饵消耗情况，下午或晚上进行补投，使投药达到空间饱和，时间饱和，药量饱和三个饱和的要求，确保灭鼠达到最佳效果。</w:t>
      </w:r>
    </w:p>
    <w:p w14:paraId="63214A4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清捡死鼠</w:t>
      </w:r>
    </w:p>
    <w:p w14:paraId="26A334C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从投完药后的第二天起十天内应有专人负责配合清捡死鼠，且在灭鼠期内如发现有异常情况，尽快到现场进行处理。</w:t>
      </w:r>
    </w:p>
    <w:p w14:paraId="644317D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灭后鼠密度调查</w:t>
      </w:r>
    </w:p>
    <w:p w14:paraId="02648A4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在灭鼠后第十五天左右进行一次鼠密度调查,确定灭鼠效果，如还发现有鼠情的场所则及时采措施进行补救，使灭鼠达到预订效果。</w:t>
      </w:r>
    </w:p>
    <w:p w14:paraId="100B089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FF0000"/>
          <w:kern w:val="2"/>
          <w:sz w:val="21"/>
          <w:szCs w:val="21"/>
          <w:lang w:val="en-US" w:eastAsia="zh-CN" w:bidi="ar-SA"/>
        </w:rPr>
        <w:t>（二）</w:t>
      </w:r>
      <w:r>
        <w:rPr>
          <w:rFonts w:hint="eastAsia" w:ascii="宋体" w:hAnsi="宋体" w:eastAsia="宋体" w:cs="宋体"/>
          <w:color w:val="000000"/>
          <w:kern w:val="2"/>
          <w:sz w:val="21"/>
          <w:szCs w:val="21"/>
          <w:lang w:val="en-US" w:eastAsia="zh-CN" w:bidi="ar-SA"/>
        </w:rPr>
        <w:t>灭蟑螂措施:</w:t>
      </w:r>
    </w:p>
    <w:p w14:paraId="16814DE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准备工作</w:t>
      </w:r>
    </w:p>
    <w:p w14:paraId="317955D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实地调查:到现场调查蟑螂的种类(美洲大蠊、澳洲大蠊或德国小蠊等)及其主要栖息、活动场所，以便确定防治重点。</w:t>
      </w:r>
    </w:p>
    <w:p w14:paraId="38AD70C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根据调查情况，选用高效低毒的灭蟑药剂。</w:t>
      </w:r>
    </w:p>
    <w:p w14:paraId="2066DB9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具体措施</w:t>
      </w:r>
    </w:p>
    <w:p w14:paraId="32212BF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如有下水道、粪池等密闭的场所，一般选用高效低毒的杀虫剂，用烟雾技术喷烟雾剂或常量法喷雾直接杀死蟑螂。</w:t>
      </w:r>
    </w:p>
    <w:p w14:paraId="4802500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对公共场所，采用卫生安全的杀虫剂，在确保安全的情况下用滞溜喷洒或超低容量喷雾法灭蟑。所采用的药剂多为进口杀虫剂，气味小，施药后不留痕迹，不影响环境整洁。</w:t>
      </w:r>
      <w:r>
        <w:rPr>
          <w:rFonts w:hint="eastAsia" w:ascii="宋体" w:hAnsi="宋体" w:eastAsia="宋体" w:cs="宋体"/>
          <w:color w:val="000000"/>
          <w:kern w:val="2"/>
          <w:sz w:val="21"/>
          <w:szCs w:val="21"/>
          <w:lang w:val="en-US" w:eastAsia="zh-CN" w:bidi="ar-SA"/>
        </w:rPr>
        <w:br w:type="textWrapping"/>
      </w:r>
      <w:r>
        <w:rPr>
          <w:rFonts w:hint="eastAsia" w:ascii="宋体" w:hAnsi="宋体" w:eastAsia="宋体" w:cs="宋体"/>
          <w:color w:val="000000"/>
          <w:kern w:val="2"/>
          <w:sz w:val="21"/>
          <w:szCs w:val="21"/>
          <w:lang w:val="en-US" w:eastAsia="zh-CN" w:bidi="ar-SA"/>
        </w:rPr>
        <w:t xml:space="preserve">    </w:t>
      </w:r>
      <w:r>
        <w:rPr>
          <w:rFonts w:hint="eastAsia" w:cs="宋体"/>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在不宜直接喷洒的场所，采取药膏投饵，让蟑螂取食、中毒死亡。</w:t>
      </w:r>
    </w:p>
    <w:p w14:paraId="2B9B6D1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FF0000"/>
          <w:kern w:val="2"/>
          <w:sz w:val="21"/>
          <w:szCs w:val="21"/>
          <w:lang w:val="en-US" w:eastAsia="zh-CN" w:bidi="ar-SA"/>
        </w:rPr>
        <w:t>（三）</w:t>
      </w:r>
      <w:r>
        <w:rPr>
          <w:rFonts w:hint="eastAsia" w:ascii="宋体" w:hAnsi="宋体" w:eastAsia="宋体" w:cs="宋体"/>
          <w:color w:val="000000"/>
          <w:kern w:val="2"/>
          <w:sz w:val="21"/>
          <w:szCs w:val="21"/>
          <w:lang w:val="en-US" w:eastAsia="zh-CN" w:bidi="ar-SA"/>
        </w:rPr>
        <w:t>灭蚊蝇措施:</w:t>
      </w:r>
    </w:p>
    <w:p w14:paraId="1A645F6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准备工作</w:t>
      </w:r>
    </w:p>
    <w:p w14:paraId="673E4FD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虫情调查:实地调查蚊蝇的种类及其主要栖息、活动场所,以便确定防治重点。</w:t>
      </w:r>
    </w:p>
    <w:p w14:paraId="3261EA7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根据调查情况，选用高效低毒的灭蚊蝇药剂。</w:t>
      </w:r>
    </w:p>
    <w:p w14:paraId="24DF1C2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具体措施:</w:t>
      </w:r>
    </w:p>
    <w:p w14:paraId="695931D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外围环境，采用常量或超低容量机械施药法灭蚊、蝇及其它有害飞虫。</w:t>
      </w:r>
    </w:p>
    <w:p w14:paraId="6A4384E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采用卫生安全的杀虫药,在确保安全的情况下用滞溜喷洒或超低容量喷雾法施药杀灭蚊、蝇(特别针对厕所、排污管道、垃圾箱等蚊蝇孽生地进行定期喷酒药物)。</w:t>
      </w:r>
    </w:p>
    <w:p w14:paraId="5B9E4F2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在有些必要的重点场所(食堂、小卖部)用化学或物理的方法杀灭苍蝇。如滞留喷洒、使用粘蝇纸、灭蝇灯等。</w:t>
      </w:r>
    </w:p>
    <w:p w14:paraId="627E683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auto"/>
          <w:kern w:val="2"/>
          <w:sz w:val="21"/>
          <w:szCs w:val="21"/>
          <w:lang w:val="en-US" w:eastAsia="zh-CN" w:bidi="ar-SA"/>
        </w:rPr>
        <w:t>（四）</w:t>
      </w:r>
      <w:r>
        <w:rPr>
          <w:rFonts w:hint="eastAsia" w:ascii="宋体" w:hAnsi="宋体" w:eastAsia="宋体" w:cs="宋体"/>
          <w:color w:val="auto"/>
          <w:kern w:val="2"/>
          <w:sz w:val="21"/>
          <w:szCs w:val="21"/>
          <w:lang w:val="en-US" w:eastAsia="zh-CN" w:bidi="ar-SA"/>
        </w:rPr>
        <w:t>灭</w:t>
      </w:r>
      <w:r>
        <w:rPr>
          <w:rFonts w:hint="eastAsia" w:ascii="宋体" w:hAnsi="宋体" w:eastAsia="宋体" w:cs="宋体"/>
          <w:color w:val="000000"/>
          <w:kern w:val="2"/>
          <w:sz w:val="21"/>
          <w:szCs w:val="21"/>
          <w:lang w:val="en-US" w:eastAsia="zh-CN" w:bidi="ar-SA"/>
        </w:rPr>
        <w:t>红火蚁、臭虫、隐翅虫措施:</w:t>
      </w:r>
    </w:p>
    <w:p w14:paraId="48EAECF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环境防治(甲方负责)</w:t>
      </w:r>
    </w:p>
    <w:p w14:paraId="14CAFE9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搞好校园环境卫生,生活垃圾日产日清。</w:t>
      </w:r>
    </w:p>
    <w:p w14:paraId="0BA14B3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定期清理建筑周边杂物,减少害虫孳生。</w:t>
      </w:r>
    </w:p>
    <w:p w14:paraId="373E80E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绿化植物、草坪定期整形修剪，去除过密枝、枯枝、病虫枝，减少害虫孳生地。</w:t>
      </w:r>
    </w:p>
    <w:p w14:paraId="2D9C930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及时清理枯枝烂叶。</w:t>
      </w:r>
    </w:p>
    <w:p w14:paraId="031E231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（5）</w:t>
      </w:r>
      <w:r>
        <w:rPr>
          <w:rFonts w:hint="eastAsia" w:ascii="宋体" w:hAnsi="宋体" w:eastAsia="宋体" w:cs="宋体"/>
          <w:color w:val="000000"/>
          <w:kern w:val="2"/>
          <w:sz w:val="21"/>
          <w:szCs w:val="21"/>
          <w:lang w:val="en-US" w:eastAsia="zh-CN" w:bidi="ar-SA"/>
        </w:rPr>
        <w:t>房间尽可能安装防虫纱窗，避免害虫飞入室内。</w:t>
      </w:r>
    </w:p>
    <w:p w14:paraId="47E8A6C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化学防治</w:t>
      </w:r>
    </w:p>
    <w:p w14:paraId="4BC76EE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全面检查室内室外害虫孳生源、巢穴或栖息地，了解害虫的种类，做好记录并贴好标签，确定防制的重点区域，根据环境的特点，科学的制定防制的方案。</w:t>
      </w:r>
    </w:p>
    <w:p w14:paraId="60EF46A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根据现场的虫情统计，做好使用药品、器械的准备工作，组织有专业资质的人员，开展一系列的消杀防治工作。</w:t>
      </w:r>
    </w:p>
    <w:p w14:paraId="1B3C3BA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（3）</w:t>
      </w:r>
      <w:r>
        <w:rPr>
          <w:rFonts w:hint="eastAsia" w:ascii="宋体" w:hAnsi="宋体" w:eastAsia="宋体" w:cs="宋体"/>
          <w:color w:val="000000"/>
          <w:kern w:val="2"/>
          <w:sz w:val="21"/>
          <w:szCs w:val="21"/>
          <w:lang w:val="en-US" w:eastAsia="zh-CN" w:bidi="ar-SA"/>
        </w:rPr>
        <w:t>施工现场，做好安全防范宣传工作，避免无关人员，进入消杀作业现场。</w:t>
      </w:r>
    </w:p>
    <w:p w14:paraId="5D7BCD7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遵守学院的规章制度，做到文明施工、安全施工。</w:t>
      </w:r>
    </w:p>
    <w:p w14:paraId="6CFC142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（5）</w:t>
      </w:r>
      <w:r>
        <w:rPr>
          <w:rFonts w:hint="eastAsia" w:ascii="宋体" w:hAnsi="宋体" w:eastAsia="宋体" w:cs="宋体"/>
          <w:color w:val="000000"/>
          <w:kern w:val="2"/>
          <w:sz w:val="21"/>
          <w:szCs w:val="21"/>
          <w:lang w:val="en-US" w:eastAsia="zh-CN" w:bidi="ar-SA"/>
        </w:rPr>
        <w:t>所用药品均符合国家允许并由爱卫办推荐使用的卫生级杀虫剂，符合高效低毒，对靶标害虫高效，对人畜安全的具有三证的合格产品。</w:t>
      </w:r>
    </w:p>
    <w:p w14:paraId="18F8FFF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（6）</w:t>
      </w:r>
      <w:r>
        <w:rPr>
          <w:rFonts w:hint="eastAsia" w:ascii="宋体" w:hAnsi="宋体" w:eastAsia="宋体" w:cs="宋体"/>
          <w:color w:val="000000"/>
          <w:kern w:val="2"/>
          <w:sz w:val="21"/>
          <w:szCs w:val="21"/>
          <w:lang w:val="en-US" w:eastAsia="zh-CN" w:bidi="ar-SA"/>
        </w:rPr>
        <w:t>作业完成后，要做好警示标识，避免靠近或触摸施药区域。</w:t>
      </w:r>
    </w:p>
    <w:p w14:paraId="3EF9987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（7）</w:t>
      </w:r>
      <w:r>
        <w:rPr>
          <w:rFonts w:hint="eastAsia" w:ascii="宋体" w:hAnsi="宋体" w:eastAsia="宋体" w:cs="宋体"/>
          <w:color w:val="000000"/>
          <w:kern w:val="2"/>
          <w:sz w:val="21"/>
          <w:szCs w:val="21"/>
          <w:lang w:val="en-US" w:eastAsia="zh-CN" w:bidi="ar-SA"/>
        </w:rPr>
        <w:t>作业一周后，要进行效果检查评估，并进行查遗补漏，巩固消杀效果。</w:t>
      </w:r>
    </w:p>
    <w:p w14:paraId="1475270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（8）</w:t>
      </w:r>
      <w:r>
        <w:rPr>
          <w:rFonts w:hint="eastAsia" w:ascii="宋体" w:hAnsi="宋体" w:eastAsia="宋体" w:cs="宋体"/>
          <w:color w:val="000000"/>
          <w:kern w:val="2"/>
          <w:sz w:val="21"/>
          <w:szCs w:val="21"/>
          <w:lang w:val="en-US" w:eastAsia="zh-CN" w:bidi="ar-SA"/>
        </w:rPr>
        <w:t>每月定期消杀一次，减少害虫孳生。</w:t>
      </w:r>
    </w:p>
    <w:p w14:paraId="20DBCEE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五、防治标准:</w:t>
      </w:r>
    </w:p>
    <w:p w14:paraId="2B31FED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(一)“四害”防治标准:以全爱卫发(1997)第5号文件为防治效果合格标准，其他害虫以不足引起危害为准。</w:t>
      </w:r>
    </w:p>
    <w:p w14:paraId="472E896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灭鼠合格标准:粉迹法≤3%:鼠征法≤2%:鼠夹法≤1%;重点部门防鼠设施不合格处不超过5%。</w:t>
      </w:r>
    </w:p>
    <w:p w14:paraId="74ED34E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灭蟑螂合格标准:成虫阳性率≤3%，有蟑螂房间平均大蠊≤5只，小蠊≤10只;卵夹阳性率≤2%,阳性间平均活卵夹≤4只;有蟑螂迹房间不超过5%。</w:t>
      </w:r>
    </w:p>
    <w:p w14:paraId="2D3A2D5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灭蝇合格标准:重点部门阳性间≤1%;其他部门阳性间≤3%，有蝇房间平均成蝇≤3只;加工、销售直接入口食品的场所不得发现成蝇;幼虫和蛹的检出率≤3%。</w:t>
      </w:r>
    </w:p>
    <w:p w14:paraId="1F9ECF3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灭蚊合格标准:单位内外环境各种存水容器和积水中，蚊幼或蛹的阳性率≤3%，阳性勺蚊幼或蛹的平均数≤5只。</w:t>
      </w:r>
    </w:p>
    <w:p w14:paraId="191C56F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(二)红火蚁、臭虫、隐翅虫防治标准:达到检疫的标准，发现一处灭治一处，避免出现害虫泛滥成灾。</w:t>
      </w:r>
    </w:p>
    <w:p w14:paraId="0EDEA38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420" w:leftChars="200" w:right="0" w:rightChars="0" w:firstLine="0" w:firstLine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六、防治期限:自合同签订之日起1年，从   年  月   日始至   年  月  日止。</w:t>
      </w:r>
      <w:r>
        <w:rPr>
          <w:rFonts w:hint="eastAsia" w:ascii="宋体" w:hAnsi="宋体" w:eastAsia="宋体" w:cs="宋体"/>
          <w:color w:val="000000"/>
          <w:kern w:val="2"/>
          <w:sz w:val="21"/>
          <w:szCs w:val="21"/>
          <w:lang w:val="en-US" w:eastAsia="zh-CN" w:bidi="ar-SA"/>
        </w:rPr>
        <w:br w:type="textWrapping"/>
      </w:r>
      <w:r>
        <w:rPr>
          <w:rFonts w:hint="eastAsia" w:ascii="宋体" w:hAnsi="宋体" w:eastAsia="宋体" w:cs="宋体"/>
          <w:color w:val="000000"/>
          <w:kern w:val="2"/>
          <w:sz w:val="21"/>
          <w:szCs w:val="21"/>
          <w:lang w:val="en-US" w:eastAsia="zh-CN" w:bidi="ar-SA"/>
        </w:rPr>
        <w:t>七、防治费用及支付方式</w:t>
      </w:r>
    </w:p>
    <w:p w14:paraId="7D05EF1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（一）</w:t>
      </w:r>
      <w:r>
        <w:rPr>
          <w:rFonts w:hint="eastAsia" w:ascii="宋体" w:hAnsi="宋体" w:eastAsia="宋体" w:cs="宋体"/>
          <w:color w:val="000000"/>
          <w:kern w:val="2"/>
          <w:sz w:val="21"/>
          <w:szCs w:val="21"/>
          <w:lang w:val="en-US" w:eastAsia="zh-CN" w:bidi="ar-SA"/>
        </w:rPr>
        <w:t>合同总额:     万元整(￥     元)，该费用此费用为包干价，含税费、药物成本、技术服务费及器械耗损费等.</w:t>
      </w:r>
    </w:p>
    <w:p w14:paraId="7F3467C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（二）</w:t>
      </w:r>
      <w:r>
        <w:rPr>
          <w:rFonts w:hint="eastAsia" w:ascii="宋体" w:hAnsi="宋体" w:eastAsia="宋体" w:cs="宋体"/>
          <w:color w:val="000000"/>
          <w:kern w:val="2"/>
          <w:sz w:val="21"/>
          <w:szCs w:val="21"/>
          <w:lang w:val="en-US" w:eastAsia="zh-CN" w:bidi="ar-SA"/>
        </w:rPr>
        <w:t>付款方式:本项目无预付款，服务费用分两次进行支付:(1)工程进度过半年后15个工作日内，甲方收到乙方开具的发票后申请用款计划，待财政用款计划批复后，甲方以银行转账方式支付合同总款额的50%。(2)服务期满并验收合格即日起15个工作日内，甲方收到乙方开具的发票后申请用款计划，待财政用款计划批复后，甲方向乙方以银行转账方式支付合同余款。</w:t>
      </w:r>
    </w:p>
    <w:p w14:paraId="72626A1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八、双方责任</w:t>
      </w:r>
    </w:p>
    <w:p w14:paraId="0FE3AA0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(一)甲方责任</w:t>
      </w:r>
    </w:p>
    <w:p w14:paraId="4058C2B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为配合好乙方工作，每次在乙方技术实施期间应派人协同，并在除四害服务单签名验收。</w:t>
      </w:r>
    </w:p>
    <w:p w14:paraId="54C385C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在协议有效期内，甲方应及时向乙方提供鼠、虫害活动情况，以便乙方采取相应的措施.</w:t>
      </w:r>
    </w:p>
    <w:p w14:paraId="166624E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甲方应按协议规定向乙方及时支付服务费，以便乙方正常开展工作。</w:t>
      </w:r>
    </w:p>
    <w:p w14:paraId="2353F24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(二)乙方责任</w:t>
      </w:r>
    </w:p>
    <w:p w14:paraId="6F15B44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保证所用药物符合国家法规所允许的高效、广谱、安全，如果因用药造成人、畜中毒的负完全责任。</w:t>
      </w:r>
    </w:p>
    <w:p w14:paraId="12FEFE3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按照协议要求，高质量完成协议期内经常性和突击性的灭鼠除虫工作，做好每次的施工记录，向甲方如实反映防治效果及存在问题。施工过程要求有贵方人员的配合并负责在施工单上签字。</w:t>
      </w:r>
    </w:p>
    <w:p w14:paraId="36D5054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工作人员必须遵守甲方的规章制度，统一着装(有公司标志)、挂牌文明施工，并应在不影响学院学生和职工正常学习和工作的情况下进行施工。</w:t>
      </w:r>
    </w:p>
    <w:p w14:paraId="528B0BD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按照所服务的项目内容，乙方每月应定期对甲方的鼠虫危害情况进行检查，如发现有防治之处，及时采取措施加以控制，如遇突发鼠虫情，必须在接到甲方通知后2小时内做出响应并到达现场调查处理。</w:t>
      </w:r>
    </w:p>
    <w:p w14:paraId="2C71499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灭鼠工作在施药时要做到把所放药物的位置记录成草图及注意事项提前告知校方，以便相互配合确保安全。</w:t>
      </w:r>
    </w:p>
    <w:p w14:paraId="220844F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从安全起见，外环境灭鼠施工尽量使用毒饵盒的方式投放鼠药，减少裸投，晚投次晨回收，及时、安全的清理掉灭鼠过程中所产生的各种废料，确保安全。并负责清捡死鼠和消毒处理。</w:t>
      </w:r>
    </w:p>
    <w:p w14:paraId="53344A3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乙方应在协议期内保持达到指标要求，并能通过南宁市有关单位对四害的卫生检查。</w:t>
      </w:r>
    </w:p>
    <w:p w14:paraId="6320D4C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乙方须指派一名固定专职技术员对施工场所进行管理,以便责任到人，利于沟通协调。</w:t>
      </w:r>
    </w:p>
    <w:p w14:paraId="4200006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如使用违禁(国家明文禁止使用)的灭鼠剂、卫生杀虫剂造成的后果负一切责任。</w:t>
      </w:r>
    </w:p>
    <w:p w14:paraId="6D0EA50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如因施工操作或用药不当造成的物件损坏照价赔偿。</w:t>
      </w:r>
    </w:p>
    <w:p w14:paraId="3A2195A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w:t>
      </w:r>
      <w:r>
        <w:rPr>
          <w:rFonts w:hint="eastAsia" w:cs="宋体"/>
          <w:color w:val="000000"/>
          <w:kern w:val="2"/>
          <w:sz w:val="21"/>
          <w:szCs w:val="21"/>
          <w:lang w:val="en-US" w:eastAsia="zh-CN" w:bidi="ar-SA"/>
        </w:rPr>
        <w:t>.</w:t>
      </w:r>
      <w:r>
        <w:rPr>
          <w:rFonts w:hint="eastAsia" w:ascii="宋体" w:hAnsi="宋体" w:eastAsia="宋体" w:cs="宋体"/>
          <w:color w:val="000000"/>
          <w:kern w:val="2"/>
          <w:sz w:val="21"/>
          <w:szCs w:val="21"/>
          <w:lang w:val="en-US" w:eastAsia="zh-CN" w:bidi="ar-SA"/>
        </w:rPr>
        <w:t>确保各级卫生检查达标，否则立即整改直到达标为止并承担相应法律责任。</w:t>
      </w:r>
    </w:p>
    <w:p w14:paraId="6951C18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九、违约责任</w:t>
      </w:r>
    </w:p>
    <w:p w14:paraId="6BF4F4C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乙方的技术服务部分或全部不符合约定，应当采取补救措施继续履行合同，服务期限予以顺延。如采取的补救措施后仍不符合约定的，甲方有权拒付服务费用或要求乙方退还相应服务费。给甲方造成损失的，乙方应承担赔偿责任。</w:t>
      </w:r>
    </w:p>
    <w:p w14:paraId="5898C85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十、不可抗力事件处理</w:t>
      </w:r>
    </w:p>
    <w:p w14:paraId="30FB637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（一）</w:t>
      </w:r>
      <w:r>
        <w:rPr>
          <w:rFonts w:hint="eastAsia" w:ascii="宋体" w:hAnsi="宋体" w:eastAsia="宋体" w:cs="宋体"/>
          <w:color w:val="000000"/>
          <w:kern w:val="2"/>
          <w:sz w:val="21"/>
          <w:szCs w:val="21"/>
          <w:lang w:val="en-US" w:eastAsia="zh-CN" w:bidi="ar-SA"/>
        </w:rPr>
        <w:t>在合同有效期内，任何一方因不可抗力事件导致不能履行合同,则合同履行期可延长，其延长期与不可抗力影响期相同。</w:t>
      </w:r>
    </w:p>
    <w:p w14:paraId="27F6FA1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（二）</w:t>
      </w:r>
      <w:r>
        <w:rPr>
          <w:rFonts w:hint="eastAsia" w:ascii="宋体" w:hAnsi="宋体" w:eastAsia="宋体" w:cs="宋体"/>
          <w:color w:val="000000"/>
          <w:kern w:val="2"/>
          <w:sz w:val="21"/>
          <w:szCs w:val="21"/>
          <w:lang w:val="en-US" w:eastAsia="zh-CN" w:bidi="ar-SA"/>
        </w:rPr>
        <w:t>不可抗力事件发生后，应立即通知对方，并寄送有关权威机构出具的证明。</w:t>
      </w:r>
    </w:p>
    <w:p w14:paraId="4B4EF65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（三）</w:t>
      </w:r>
      <w:r>
        <w:rPr>
          <w:rFonts w:hint="eastAsia" w:ascii="宋体" w:hAnsi="宋体" w:eastAsia="宋体" w:cs="宋体"/>
          <w:color w:val="000000"/>
          <w:kern w:val="2"/>
          <w:sz w:val="21"/>
          <w:szCs w:val="21"/>
          <w:lang w:val="en-US" w:eastAsia="zh-CN" w:bidi="ar-SA"/>
        </w:rPr>
        <w:t>不可抗力事件延续120 天以上，双方应通过友好协商，确定是否继续履行合同。</w:t>
      </w:r>
    </w:p>
    <w:p w14:paraId="76EF297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十一、争议解决方式</w:t>
      </w:r>
    </w:p>
    <w:p w14:paraId="15FED43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双方在执行合同中所发生的一切争议，应通过协商解决。如协商不成,可向甲方所在地人民法院起诉。</w:t>
      </w:r>
    </w:p>
    <w:p w14:paraId="27A1EFD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十二、合同生效及其它</w:t>
      </w:r>
    </w:p>
    <w:p w14:paraId="22450D1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（一）</w:t>
      </w:r>
      <w:r>
        <w:rPr>
          <w:rFonts w:hint="eastAsia" w:ascii="宋体" w:hAnsi="宋体" w:eastAsia="宋体" w:cs="宋体"/>
          <w:color w:val="000000"/>
          <w:kern w:val="2"/>
          <w:sz w:val="21"/>
          <w:szCs w:val="21"/>
          <w:lang w:val="en-US" w:eastAsia="zh-CN" w:bidi="ar-SA"/>
        </w:rPr>
        <w:t>合同经双方法定代表人或授权委托代理人签字并加盖单位公章后生效。</w:t>
      </w:r>
    </w:p>
    <w:p w14:paraId="13F8EAD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（二）</w:t>
      </w:r>
      <w:r>
        <w:rPr>
          <w:rFonts w:hint="eastAsia" w:ascii="宋体" w:hAnsi="宋体" w:eastAsia="宋体" w:cs="宋体"/>
          <w:color w:val="000000"/>
          <w:kern w:val="2"/>
          <w:sz w:val="21"/>
          <w:szCs w:val="21"/>
          <w:lang w:val="en-US" w:eastAsia="zh-CN" w:bidi="ar-SA"/>
        </w:rPr>
        <w:t>本合同未尽事宜，遵照《中华人民共和国民法典》有关条文执行。</w:t>
      </w:r>
    </w:p>
    <w:p w14:paraId="40E301B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（三）</w:t>
      </w:r>
      <w:r>
        <w:rPr>
          <w:rFonts w:hint="eastAsia" w:ascii="宋体" w:hAnsi="宋体" w:eastAsia="宋体" w:cs="宋体"/>
          <w:color w:val="000000"/>
          <w:kern w:val="2"/>
          <w:sz w:val="21"/>
          <w:szCs w:val="21"/>
          <w:lang w:val="en-US" w:eastAsia="zh-CN" w:bidi="ar-SA"/>
        </w:rPr>
        <w:t>询价文件、乙方响应文件作为合同不可分割部分，与本合同具有同等的法律效力。</w:t>
      </w:r>
      <w:r>
        <w:rPr>
          <w:rFonts w:hint="eastAsia" w:ascii="宋体" w:hAnsi="宋体" w:eastAsia="宋体" w:cs="宋体"/>
          <w:color w:val="000000"/>
          <w:kern w:val="2"/>
          <w:sz w:val="21"/>
          <w:szCs w:val="21"/>
          <w:lang w:val="en-US" w:eastAsia="zh-CN" w:bidi="ar-SA"/>
        </w:rPr>
        <w:br w:type="textWrapping"/>
      </w:r>
      <w:r>
        <w:rPr>
          <w:rFonts w:hint="eastAsia" w:ascii="宋体" w:hAnsi="宋体" w:eastAsia="宋体" w:cs="宋体"/>
          <w:color w:val="000000"/>
          <w:kern w:val="2"/>
          <w:sz w:val="21"/>
          <w:szCs w:val="21"/>
          <w:lang w:val="en-US" w:eastAsia="zh-CN" w:bidi="ar-SA"/>
        </w:rPr>
        <w:t xml:space="preserve">    </w:t>
      </w:r>
      <w:r>
        <w:rPr>
          <w:rFonts w:hint="eastAsia" w:cs="宋体"/>
          <w:color w:val="000000"/>
          <w:kern w:val="2"/>
          <w:sz w:val="21"/>
          <w:szCs w:val="21"/>
          <w:lang w:val="en-US" w:eastAsia="zh-CN" w:bidi="ar-SA"/>
        </w:rPr>
        <w:t>（四）</w:t>
      </w:r>
      <w:r>
        <w:rPr>
          <w:rFonts w:hint="eastAsia" w:ascii="宋体" w:hAnsi="宋体" w:eastAsia="宋体" w:cs="宋体"/>
          <w:color w:val="000000"/>
          <w:kern w:val="2"/>
          <w:sz w:val="21"/>
          <w:szCs w:val="21"/>
          <w:lang w:val="en-US" w:eastAsia="zh-CN" w:bidi="ar-SA"/>
        </w:rPr>
        <w:t>本合同一式肆份，具有同等法律效力，甲乙双方各执二份。</w:t>
      </w:r>
    </w:p>
    <w:p w14:paraId="2EB4388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（五）</w:t>
      </w:r>
      <w:r>
        <w:rPr>
          <w:rFonts w:hint="eastAsia" w:ascii="宋体" w:hAnsi="宋体" w:eastAsia="宋体" w:cs="宋体"/>
          <w:color w:val="000000"/>
          <w:kern w:val="2"/>
          <w:sz w:val="21"/>
          <w:szCs w:val="21"/>
          <w:lang w:val="en-US" w:eastAsia="zh-CN" w:bidi="ar-SA"/>
        </w:rPr>
        <w:t>本合同自甲、乙双方签订之日起生效，任何一方不得随意解除合同，违者按合同未履行部分总金额的20%赔偿给对方。</w:t>
      </w:r>
    </w:p>
    <w:p w14:paraId="3DBD7AE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0" w:leftChars="0" w:right="0" w:rightChars="0" w:firstLine="42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cs="宋体"/>
          <w:color w:val="000000"/>
          <w:kern w:val="2"/>
          <w:sz w:val="21"/>
          <w:szCs w:val="21"/>
          <w:lang w:val="en-US" w:eastAsia="zh-CN" w:bidi="ar-SA"/>
        </w:rPr>
        <w:t>（六）</w:t>
      </w:r>
      <w:r>
        <w:rPr>
          <w:rFonts w:hint="eastAsia" w:ascii="宋体" w:hAnsi="宋体" w:eastAsia="宋体" w:cs="宋体"/>
          <w:color w:val="000000"/>
          <w:kern w:val="2"/>
          <w:sz w:val="21"/>
          <w:szCs w:val="21"/>
          <w:lang w:val="en-US" w:eastAsia="zh-CN" w:bidi="ar-SA"/>
        </w:rPr>
        <w:t>乙方必须每月定期完成除“四害”服务，每少一次，扣减消杀费用的20%。</w:t>
      </w:r>
    </w:p>
    <w:p w14:paraId="5CF7D20E">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left="5460" w:right="0" w:rightChars="0" w:hanging="4830" w:hangingChars="2100"/>
        <w:jc w:val="left"/>
        <w:textAlignment w:val="auto"/>
        <w:outlineLvl w:val="9"/>
        <w:rPr>
          <w:rFonts w:hint="eastAsia" w:ascii="宋体" w:hAnsi="宋体" w:eastAsia="宋体" w:cs="宋体"/>
          <w:color w:val="000000"/>
          <w:kern w:val="2"/>
          <w:sz w:val="21"/>
          <w:szCs w:val="21"/>
          <w:lang w:val="en-US" w:eastAsia="zh-CN" w:bidi="ar-SA"/>
        </w:rPr>
      </w:pPr>
    </w:p>
    <w:p w14:paraId="73EBB4D3">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left="5460" w:right="0" w:rightChars="0" w:hanging="4830" w:hangingChars="21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甲方：广西南宁技师学院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乙方：</w:t>
      </w:r>
    </w:p>
    <w:p w14:paraId="502C7221">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right="0" w:rightChars="0" w:firstLine="460" w:firstLineChars="2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     （盖章）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（盖章）</w:t>
      </w:r>
    </w:p>
    <w:p w14:paraId="7E487AD9">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right="0" w:rightChars="0" w:firstLine="230" w:firstLineChars="100"/>
        <w:jc w:val="left"/>
        <w:textAlignment w:val="auto"/>
        <w:outlineLvl w:val="9"/>
        <w:rPr>
          <w:rFonts w:hint="eastAsia" w:ascii="宋体" w:hAnsi="宋体" w:eastAsia="宋体" w:cs="宋体"/>
          <w:color w:val="000000"/>
          <w:kern w:val="2"/>
          <w:sz w:val="21"/>
          <w:szCs w:val="21"/>
          <w:lang w:val="en-US" w:eastAsia="zh-CN" w:bidi="ar-SA"/>
        </w:rPr>
      </w:pPr>
    </w:p>
    <w:p w14:paraId="7CA46B24">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left="5200" w:right="0" w:rightChars="0" w:hanging="4600" w:hangingChars="20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地址：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 xml:space="preserve">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地址：</w:t>
      </w:r>
    </w:p>
    <w:p w14:paraId="43AFE876">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法定代表人：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法定代表人：</w:t>
      </w:r>
    </w:p>
    <w:p w14:paraId="4D05D768">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委托代理人：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委托代理人：</w:t>
      </w:r>
    </w:p>
    <w:p w14:paraId="23E992BC">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电话：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电话：</w:t>
      </w:r>
    </w:p>
    <w:p w14:paraId="6C19718A">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统一社会代码：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统一社会代码：</w:t>
      </w:r>
    </w:p>
    <w:p w14:paraId="577A40B6">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开户银行：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开户银行：</w:t>
      </w:r>
    </w:p>
    <w:p w14:paraId="0D6D11E5">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left="5980" w:right="0" w:rightChars="0" w:hanging="5290" w:hangingChars="230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开户名称：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开户名称：</w:t>
      </w:r>
    </w:p>
    <w:p w14:paraId="45BF0D7C">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银行账号：                      </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银行账号：</w:t>
      </w:r>
    </w:p>
    <w:p w14:paraId="6B81C2BB">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合同签订地址：广西南宁市</w:t>
      </w:r>
    </w:p>
    <w:p w14:paraId="065C1349">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合同签订日期：    年    月    日</w:t>
      </w:r>
    </w:p>
    <w:p w14:paraId="7BBACE65">
      <w:pPr>
        <w:keepNext w:val="0"/>
        <w:keepLines w:val="0"/>
        <w:pageBreakBefore w:val="0"/>
        <w:kinsoku/>
        <w:wordWrap/>
        <w:overflowPunct/>
        <w:topLinePunct w:val="0"/>
        <w:autoSpaceDE/>
        <w:autoSpaceDN/>
        <w:bidi w:val="0"/>
        <w:adjustRightInd w:val="0"/>
        <w:snapToGrid w:val="0"/>
        <w:spacing w:beforeAutospacing="0" w:afterAutospacing="0" w:line="500" w:lineRule="exact"/>
        <w:ind w:right="0" w:rightChars="0"/>
        <w:jc w:val="left"/>
        <w:textAlignment w:val="auto"/>
        <w:outlineLvl w:val="9"/>
        <w:rPr>
          <w:rFonts w:hint="eastAsia" w:ascii="宋体" w:hAnsi="宋体" w:eastAsia="宋体" w:cs="宋体"/>
          <w:color w:val="000000"/>
          <w:kern w:val="2"/>
          <w:sz w:val="21"/>
          <w:szCs w:val="21"/>
          <w:lang w:val="en-US" w:eastAsia="zh-CN" w:bidi="ar-SA"/>
        </w:rPr>
      </w:pPr>
    </w:p>
    <w:bookmarkEnd w:id="47"/>
    <w:p w14:paraId="044B4F9E">
      <w:pPr>
        <w:pStyle w:val="4"/>
        <w:adjustRightInd w:val="0"/>
        <w:snapToGrid w:val="0"/>
        <w:spacing w:line="360" w:lineRule="auto"/>
        <w:jc w:val="center"/>
        <w:rPr>
          <w:rFonts w:ascii="黑体" w:hAnsi="黑体" w:eastAsia="黑体"/>
          <w:b w:val="0"/>
          <w:sz w:val="32"/>
          <w:szCs w:val="32"/>
        </w:rPr>
      </w:pPr>
      <w:bookmarkStart w:id="48" w:name="_Toc43264514"/>
      <w:bookmarkEnd w:id="48"/>
      <w:bookmarkStart w:id="49" w:name="_Toc50736472"/>
      <w:bookmarkStart w:id="50" w:name="_Toc454458061"/>
      <w:bookmarkStart w:id="51" w:name="_Toc87417454"/>
      <w:bookmarkStart w:id="52" w:name="_Toc50691026"/>
      <w:bookmarkStart w:id="53" w:name="_Toc50737292"/>
      <w:bookmarkStart w:id="54" w:name="_Toc50737324"/>
      <w:r>
        <w:rPr>
          <w:rFonts w:hint="eastAsia" w:ascii="黑体" w:hAnsi="黑体" w:eastAsia="黑体" w:cs="宋体"/>
          <w:b w:val="0"/>
          <w:sz w:val="32"/>
          <w:szCs w:val="32"/>
        </w:rPr>
        <w:t>第五章 响应文件格式</w:t>
      </w:r>
      <w:bookmarkEnd w:id="49"/>
      <w:bookmarkEnd w:id="50"/>
      <w:bookmarkEnd w:id="51"/>
      <w:bookmarkEnd w:id="52"/>
      <w:bookmarkEnd w:id="53"/>
      <w:bookmarkEnd w:id="54"/>
    </w:p>
    <w:p w14:paraId="38646108">
      <w:pPr>
        <w:pStyle w:val="5"/>
        <w:widowControl/>
        <w:spacing w:line="440" w:lineRule="exact"/>
        <w:jc w:val="center"/>
        <w:rPr>
          <w:rFonts w:ascii="宋体" w:hAnsi="宋体" w:eastAsia="宋体" w:cs="宋体"/>
          <w:b w:val="0"/>
        </w:rPr>
      </w:pPr>
      <w:bookmarkStart w:id="55" w:name="_Toc453493041"/>
      <w:bookmarkStart w:id="56" w:name="_Toc454458062"/>
      <w:bookmarkStart w:id="57" w:name="_Toc448133318"/>
      <w:bookmarkStart w:id="58" w:name="_Toc321408662"/>
      <w:r>
        <w:rPr>
          <w:rFonts w:hint="eastAsia" w:ascii="宋体" w:hAnsi="宋体" w:eastAsia="宋体" w:cs="宋体"/>
          <w:b w:val="0"/>
        </w:rPr>
        <w:t>响应文件封面</w:t>
      </w:r>
      <w:bookmarkEnd w:id="55"/>
      <w:bookmarkEnd w:id="56"/>
      <w:bookmarkEnd w:id="57"/>
    </w:p>
    <w:tbl>
      <w:tblPr>
        <w:tblStyle w:val="37"/>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61F0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14:paraId="56CABB0F">
            <w:pPr>
              <w:pStyle w:val="33"/>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14:paraId="56961A37">
            <w:pPr>
              <w:pStyle w:val="33"/>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14:paraId="370B0DA1">
            <w:pPr>
              <w:pStyle w:val="3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14:paraId="22FE1CDF">
            <w:pPr>
              <w:pStyle w:val="3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14:paraId="778B445C">
            <w:pPr>
              <w:pStyle w:val="33"/>
              <w:widowControl w:val="0"/>
              <w:spacing w:before="0" w:beforeAutospacing="0" w:after="0" w:afterAutospacing="0" w:line="360" w:lineRule="auto"/>
              <w:jc w:val="center"/>
              <w:rPr>
                <w:rFonts w:hAnsi="Times New Roman"/>
                <w:kern w:val="2"/>
                <w:sz w:val="32"/>
                <w:szCs w:val="32"/>
              </w:rPr>
            </w:pPr>
          </w:p>
          <w:p w14:paraId="21A3DE8E">
            <w:pPr>
              <w:pStyle w:val="33"/>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14:paraId="5FAF1802">
            <w:pPr>
              <w:pStyle w:val="33"/>
              <w:widowControl w:val="0"/>
              <w:spacing w:before="0" w:beforeAutospacing="0" w:after="0" w:afterAutospacing="0" w:line="360" w:lineRule="auto"/>
              <w:jc w:val="both"/>
              <w:rPr>
                <w:rFonts w:ascii="仿宋_GB2312" w:eastAsia="仿宋_GB2312" w:cs="仿宋_GB2312"/>
                <w:kern w:val="2"/>
                <w:sz w:val="32"/>
                <w:szCs w:val="32"/>
              </w:rPr>
            </w:pPr>
          </w:p>
          <w:p w14:paraId="5C52A091">
            <w:pPr>
              <w:pStyle w:val="33"/>
              <w:widowControl w:val="0"/>
              <w:spacing w:before="0" w:beforeAutospacing="0" w:after="0" w:afterAutospacing="0" w:line="400" w:lineRule="exact"/>
              <w:ind w:firstLine="896" w:firstLineChars="320"/>
              <w:jc w:val="both"/>
              <w:rPr>
                <w:rFonts w:hAnsi="Times New Roman"/>
                <w:kern w:val="2"/>
                <w:sz w:val="28"/>
                <w:szCs w:val="28"/>
              </w:rPr>
            </w:pPr>
          </w:p>
          <w:p w14:paraId="7687057F">
            <w:pPr>
              <w:pStyle w:val="33"/>
              <w:widowControl w:val="0"/>
              <w:spacing w:before="0" w:beforeAutospacing="0" w:after="0" w:afterAutospacing="0" w:line="400" w:lineRule="exact"/>
              <w:ind w:firstLine="896" w:firstLineChars="320"/>
              <w:jc w:val="both"/>
              <w:rPr>
                <w:rFonts w:hAnsi="Times New Roman"/>
                <w:kern w:val="2"/>
                <w:sz w:val="28"/>
                <w:szCs w:val="28"/>
              </w:rPr>
            </w:pPr>
          </w:p>
          <w:p w14:paraId="0812A608">
            <w:pPr>
              <w:pStyle w:val="33"/>
              <w:widowControl w:val="0"/>
              <w:spacing w:before="0" w:beforeAutospacing="0" w:after="0" w:afterAutospacing="0" w:line="400" w:lineRule="exact"/>
              <w:ind w:firstLine="896" w:firstLineChars="320"/>
              <w:jc w:val="both"/>
              <w:rPr>
                <w:rFonts w:hAnsi="Times New Roman"/>
                <w:kern w:val="2"/>
                <w:sz w:val="28"/>
                <w:szCs w:val="28"/>
              </w:rPr>
            </w:pPr>
          </w:p>
          <w:p w14:paraId="6AE1C3E9">
            <w:pPr>
              <w:pStyle w:val="33"/>
              <w:widowControl w:val="0"/>
              <w:spacing w:before="0" w:beforeAutospacing="0" w:after="0" w:afterAutospacing="0" w:line="400" w:lineRule="exact"/>
              <w:ind w:firstLine="896" w:firstLineChars="320"/>
              <w:jc w:val="both"/>
              <w:rPr>
                <w:rFonts w:hAnsi="Times New Roman"/>
                <w:kern w:val="2"/>
                <w:sz w:val="28"/>
                <w:szCs w:val="28"/>
              </w:rPr>
            </w:pPr>
          </w:p>
          <w:p w14:paraId="2F0A0F63">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14:paraId="41133DD7">
            <w:pPr>
              <w:pStyle w:val="33"/>
              <w:widowControl w:val="0"/>
              <w:spacing w:before="0" w:beforeAutospacing="0" w:after="120" w:afterAutospacing="0"/>
              <w:ind w:left="708" w:leftChars="337"/>
              <w:jc w:val="both"/>
              <w:rPr>
                <w:rFonts w:hint="eastAsia" w:ascii="Times New Roman" w:hAnsi="Times New Roman"/>
                <w:color w:val="auto"/>
                <w:kern w:val="2"/>
                <w:sz w:val="28"/>
                <w:szCs w:val="28"/>
                <w:highlight w:val="none"/>
              </w:rPr>
            </w:pPr>
            <w:r>
              <w:rPr>
                <w:rFonts w:hint="eastAsia" w:ascii="Times New Roman" w:hAnsi="Times New Roman"/>
                <w:kern w:val="2"/>
                <w:sz w:val="28"/>
                <w:szCs w:val="28"/>
              </w:rPr>
              <w:t>项目名称：</w:t>
            </w:r>
            <w:r>
              <w:rPr>
                <w:rFonts w:hint="eastAsia" w:ascii="Times New Roman" w:hAnsi="Times New Roman"/>
                <w:color w:val="auto"/>
                <w:kern w:val="2"/>
                <w:sz w:val="28"/>
                <w:szCs w:val="28"/>
                <w:highlight w:val="none"/>
                <w:lang w:val="en-US" w:eastAsia="zh-CN"/>
              </w:rPr>
              <w:t>2025年</w:t>
            </w:r>
            <w:r>
              <w:rPr>
                <w:rFonts w:hint="eastAsia" w:ascii="Times New Roman" w:hAnsi="Times New Roman"/>
                <w:color w:val="auto"/>
                <w:kern w:val="2"/>
                <w:sz w:val="28"/>
                <w:szCs w:val="28"/>
                <w:highlight w:val="none"/>
              </w:rPr>
              <w:t>“四害”及红火蚁、隐翅虫、臭虫防治服务</w:t>
            </w:r>
          </w:p>
          <w:p w14:paraId="1F7E9C26">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14:paraId="668B643A">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14:paraId="61DF97DD">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58"/>
    </w:tbl>
    <w:p w14:paraId="36ECCE62">
      <w:pPr>
        <w:outlineLvl w:val="1"/>
        <w:rPr>
          <w:rFonts w:ascii="宋体" w:hAnsi="Times New Roman" w:cs="宋体"/>
          <w:color w:val="FF0000"/>
          <w:kern w:val="0"/>
        </w:rPr>
      </w:pPr>
    </w:p>
    <w:p w14:paraId="05B17711">
      <w:pPr>
        <w:pStyle w:val="36"/>
        <w:ind w:left="0" w:leftChars="0" w:firstLine="0" w:firstLineChars="0"/>
      </w:pPr>
    </w:p>
    <w:p w14:paraId="188ACE8B">
      <w:pPr>
        <w:pStyle w:val="36"/>
        <w:ind w:left="0" w:leftChars="0" w:firstLine="0" w:firstLineChars="0"/>
      </w:pPr>
    </w:p>
    <w:p w14:paraId="3D9E0F9F">
      <w:pPr>
        <w:pStyle w:val="33"/>
        <w:widowControl w:val="0"/>
        <w:numPr>
          <w:ilvl w:val="0"/>
          <w:numId w:val="3"/>
        </w:numPr>
        <w:spacing w:before="0" w:beforeAutospacing="0" w:after="0" w:afterAutospacing="0"/>
        <w:rPr>
          <w:rFonts w:ascii="Arial" w:hAnsi="Arial" w:eastAsia="黑体"/>
          <w:sz w:val="28"/>
          <w:szCs w:val="28"/>
        </w:rPr>
      </w:pPr>
      <w:bookmarkStart w:id="59" w:name="_Toc52165077"/>
      <w:bookmarkStart w:id="60" w:name="_Toc50691028"/>
      <w:bookmarkStart w:id="61" w:name="_Toc168212179"/>
      <w:bookmarkStart w:id="62" w:name="_Toc50737293"/>
      <w:bookmarkStart w:id="63" w:name="_Toc50736473"/>
      <w:bookmarkStart w:id="64" w:name="_Toc50737325"/>
    </w:p>
    <w:p w14:paraId="3EE85B5E">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59"/>
      <w:bookmarkEnd w:id="60"/>
      <w:bookmarkEnd w:id="61"/>
      <w:bookmarkEnd w:id="62"/>
      <w:bookmarkEnd w:id="63"/>
      <w:bookmarkEnd w:id="64"/>
    </w:p>
    <w:p w14:paraId="6A35DFD1">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14:paraId="3B706EB7">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14:paraId="1055576B">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14:paraId="56432F98">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14:paraId="403D707F">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14:paraId="4C830719">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14:paraId="384AA52B">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14:paraId="06AE4AB6">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14:paraId="19E5D9A7">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14:paraId="15C640BD">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14:paraId="6175B7CD">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14:paraId="4ADD8246">
      <w:pPr>
        <w:autoSpaceDE w:val="0"/>
        <w:autoSpaceDN w:val="0"/>
        <w:adjustRightInd w:val="0"/>
        <w:snapToGrid w:val="0"/>
        <w:spacing w:line="400" w:lineRule="exact"/>
        <w:ind w:left="420" w:firstLine="310"/>
        <w:rPr>
          <w:rFonts w:ascii="宋体" w:hAnsi="Times New Roman" w:cs="宋体"/>
          <w:color w:val="000000"/>
          <w:u w:val="single"/>
        </w:rPr>
      </w:pPr>
    </w:p>
    <w:p w14:paraId="6EF93542">
      <w:pPr>
        <w:adjustRightInd w:val="0"/>
        <w:snapToGrid w:val="0"/>
        <w:spacing w:line="400" w:lineRule="exact"/>
        <w:ind w:left="480"/>
        <w:rPr>
          <w:rFonts w:ascii="宋体" w:hAnsi="Times New Roman" w:cs="宋体"/>
          <w:color w:val="000000"/>
        </w:rPr>
      </w:pPr>
    </w:p>
    <w:p w14:paraId="773CE19D">
      <w:pPr>
        <w:adjustRightInd w:val="0"/>
        <w:snapToGrid w:val="0"/>
        <w:spacing w:line="360" w:lineRule="auto"/>
        <w:ind w:left="480"/>
        <w:rPr>
          <w:rFonts w:ascii="宋体" w:hAnsi="Times New Roman" w:cs="宋体"/>
          <w:color w:val="000000"/>
        </w:rPr>
      </w:pPr>
    </w:p>
    <w:p w14:paraId="5F7F5A45">
      <w:pPr>
        <w:adjustRightInd w:val="0"/>
        <w:snapToGrid w:val="0"/>
        <w:spacing w:line="360" w:lineRule="auto"/>
        <w:ind w:left="480"/>
        <w:rPr>
          <w:rFonts w:ascii="宋体" w:hAnsi="Times New Roman" w:cs="宋体"/>
          <w:color w:val="000000"/>
        </w:rPr>
      </w:pPr>
    </w:p>
    <w:p w14:paraId="267369D4">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14:paraId="71220498">
      <w:pPr>
        <w:adjustRightInd w:val="0"/>
        <w:snapToGrid w:val="0"/>
        <w:spacing w:line="360" w:lineRule="auto"/>
        <w:ind w:left="480"/>
        <w:rPr>
          <w:rFonts w:ascii="宋体" w:hAnsi="宋体" w:cs="宋体"/>
          <w:color w:val="000000"/>
        </w:rPr>
      </w:pPr>
    </w:p>
    <w:p w14:paraId="52086102">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14:paraId="42556131">
      <w:pPr>
        <w:adjustRightInd w:val="0"/>
        <w:snapToGrid w:val="0"/>
        <w:spacing w:line="360" w:lineRule="auto"/>
        <w:ind w:firstLine="472" w:firstLineChars="225"/>
        <w:rPr>
          <w:rFonts w:ascii="宋体" w:hAnsi="Times New Roman" w:cs="宋体"/>
        </w:rPr>
      </w:pPr>
    </w:p>
    <w:p w14:paraId="3CFA8BCD">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14:paraId="79F3DF5C">
      <w:pPr>
        <w:adjustRightInd w:val="0"/>
        <w:snapToGrid w:val="0"/>
        <w:spacing w:line="360" w:lineRule="auto"/>
        <w:ind w:firstLine="472" w:firstLineChars="225"/>
        <w:rPr>
          <w:rFonts w:ascii="宋体" w:hAnsi="Times New Roman" w:cs="宋体"/>
          <w:color w:val="000000"/>
        </w:rPr>
      </w:pPr>
    </w:p>
    <w:p w14:paraId="6A62A1B8">
      <w:pPr>
        <w:spacing w:line="360" w:lineRule="auto"/>
        <w:ind w:left="105" w:leftChars="50" w:firstLine="2"/>
        <w:rPr>
          <w:rFonts w:ascii="宋体" w:hAnsi="Times New Roman" w:cs="宋体"/>
        </w:rPr>
      </w:pPr>
    </w:p>
    <w:p w14:paraId="08557F2F">
      <w:pPr>
        <w:rPr>
          <w:rFonts w:ascii="宋体" w:hAnsi="Times New Roman"/>
        </w:rPr>
        <w:sectPr>
          <w:pgSz w:w="11906" w:h="16838"/>
          <w:pgMar w:top="1135" w:right="1135" w:bottom="1135" w:left="1135" w:header="685" w:footer="567" w:gutter="0"/>
          <w:cols w:space="720" w:num="1"/>
          <w:docGrid w:type="lines" w:linePitch="312" w:charSpace="0"/>
        </w:sectPr>
      </w:pPr>
    </w:p>
    <w:p w14:paraId="47D003D0">
      <w:pPr>
        <w:numPr>
          <w:ilvl w:val="0"/>
          <w:numId w:val="3"/>
        </w:numPr>
        <w:spacing w:line="400" w:lineRule="exact"/>
        <w:rPr>
          <w:rFonts w:ascii="黑体" w:hAnsi="Times New Roman" w:eastAsia="黑体" w:cs="黑体"/>
          <w:sz w:val="28"/>
          <w:szCs w:val="28"/>
        </w:rPr>
      </w:pPr>
      <w:bookmarkStart w:id="65" w:name="_Toc50703722"/>
      <w:bookmarkStart w:id="66" w:name="_Toc43264516"/>
      <w:bookmarkStart w:id="67" w:name="_Toc50691029"/>
    </w:p>
    <w:p w14:paraId="52A93A37">
      <w:pPr>
        <w:jc w:val="center"/>
        <w:outlineLvl w:val="1"/>
        <w:rPr>
          <w:rFonts w:ascii="黑体" w:hAnsi="宋体" w:eastAsia="黑体" w:cs="黑体"/>
          <w:kern w:val="0"/>
          <w:sz w:val="32"/>
          <w:szCs w:val="32"/>
        </w:rPr>
      </w:pPr>
      <w:bookmarkStart w:id="68" w:name="_Toc237145559"/>
      <w:r>
        <w:rPr>
          <w:rFonts w:hint="eastAsia" w:ascii="黑体" w:hAnsi="宋体" w:eastAsia="黑体" w:cs="黑体"/>
          <w:kern w:val="0"/>
          <w:sz w:val="32"/>
          <w:szCs w:val="32"/>
        </w:rPr>
        <w:t>供应商资格声明函</w:t>
      </w:r>
      <w:bookmarkEnd w:id="68"/>
    </w:p>
    <w:p w14:paraId="13F83AC5">
      <w:pPr>
        <w:spacing w:line="360" w:lineRule="auto"/>
        <w:ind w:firstLine="420"/>
        <w:rPr>
          <w:rFonts w:ascii="Times New Roman" w:hAnsi="Times New Roman" w:cs="宋体"/>
        </w:rPr>
      </w:pPr>
      <w:r>
        <w:rPr>
          <w:rFonts w:hint="eastAsia" w:ascii="Times New Roman" w:hAnsi="Times New Roman" w:cs="宋体"/>
        </w:rPr>
        <w:t>广西南宁技师学院：</w:t>
      </w:r>
    </w:p>
    <w:p w14:paraId="67AB4AC6">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14:paraId="00D6830B">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14:paraId="3654E654">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14:paraId="170DED85">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14:paraId="54816866">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14:paraId="240D49BE">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14:paraId="53F81893">
      <w:pPr>
        <w:spacing w:line="360" w:lineRule="auto"/>
        <w:ind w:firstLine="420"/>
        <w:rPr>
          <w:rFonts w:ascii="Times New Roman" w:hAnsi="Times New Roman" w:cs="宋体"/>
        </w:rPr>
      </w:pPr>
      <w:r>
        <w:rPr>
          <w:rFonts w:hint="eastAsia" w:ascii="Times New Roman" w:hAnsi="Times New Roman" w:cs="宋体"/>
        </w:rPr>
        <w:t>（五）参加采购活动前三年内，在经营活动中没有重大违法记录；</w:t>
      </w:r>
    </w:p>
    <w:p w14:paraId="47B02C52">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14:paraId="283D4D27">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14:paraId="2C499DCA">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14:paraId="54234998">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14:paraId="14F99F1D">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14:paraId="16FAE988">
      <w:pPr>
        <w:spacing w:line="360" w:lineRule="auto"/>
        <w:ind w:firstLine="420"/>
        <w:rPr>
          <w:rFonts w:ascii="Times New Roman" w:hAnsi="Times New Roman" w:cs="宋体"/>
        </w:rPr>
      </w:pPr>
      <w:r>
        <w:rPr>
          <w:rFonts w:hint="eastAsia" w:ascii="Times New Roman" w:hAnsi="Times New Roman" w:cs="宋体"/>
        </w:rPr>
        <w:t>特此声明！</w:t>
      </w:r>
    </w:p>
    <w:p w14:paraId="7F29A218">
      <w:pPr>
        <w:spacing w:line="360" w:lineRule="auto"/>
        <w:ind w:firstLine="420"/>
      </w:pPr>
      <w:r>
        <w:rPr>
          <w:rFonts w:hint="eastAsia" w:ascii="Times New Roman" w:hAnsi="Times New Roman" w:cs="宋体"/>
        </w:rPr>
        <w:t>备注：1. 本声明函如有虚假或与事实不符的，作无效报价处理。</w:t>
      </w:r>
    </w:p>
    <w:p w14:paraId="1E68B1F6">
      <w:pPr>
        <w:spacing w:line="360" w:lineRule="auto"/>
        <w:ind w:firstLine="420"/>
      </w:pPr>
    </w:p>
    <w:p w14:paraId="66FAEDEA">
      <w:pPr>
        <w:spacing w:line="360" w:lineRule="auto"/>
        <w:ind w:firstLine="420"/>
      </w:pPr>
    </w:p>
    <w:p w14:paraId="32DBD9B4">
      <w:pPr>
        <w:spacing w:line="360" w:lineRule="auto"/>
        <w:ind w:firstLine="420"/>
      </w:pPr>
    </w:p>
    <w:p w14:paraId="276A8A40">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14:paraId="14D18D53">
      <w:pPr>
        <w:adjustRightInd w:val="0"/>
        <w:snapToGrid w:val="0"/>
        <w:spacing w:line="360" w:lineRule="auto"/>
        <w:ind w:left="480"/>
        <w:rPr>
          <w:rFonts w:ascii="宋体" w:hAnsi="宋体" w:cs="宋体"/>
          <w:color w:val="000000"/>
        </w:rPr>
      </w:pPr>
    </w:p>
    <w:p w14:paraId="39E21A5C">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14:paraId="266A6F0B">
      <w:pPr>
        <w:adjustRightInd w:val="0"/>
        <w:snapToGrid w:val="0"/>
        <w:spacing w:line="360" w:lineRule="auto"/>
        <w:ind w:firstLine="472" w:firstLineChars="225"/>
        <w:rPr>
          <w:rFonts w:ascii="宋体" w:hAnsi="Times New Roman" w:cs="宋体"/>
        </w:rPr>
      </w:pPr>
    </w:p>
    <w:p w14:paraId="2DF015E5">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14:paraId="35E06D96">
      <w:pPr>
        <w:spacing w:line="360" w:lineRule="auto"/>
        <w:ind w:firstLine="525" w:firstLineChars="250"/>
        <w:rPr>
          <w:rFonts w:ascii="宋体" w:hAnsi="Times New Roman" w:cs="宋体"/>
          <w:color w:val="000000"/>
          <w:lang w:val="zh-CN"/>
        </w:rPr>
      </w:pPr>
    </w:p>
    <w:p w14:paraId="6D6A39AD">
      <w:pPr>
        <w:pStyle w:val="36"/>
        <w:ind w:firstLine="210"/>
        <w:rPr>
          <w:lang w:val="zh-CN"/>
        </w:rPr>
      </w:pPr>
    </w:p>
    <w:p w14:paraId="47F092F4">
      <w:pPr>
        <w:pStyle w:val="36"/>
        <w:ind w:firstLine="210"/>
        <w:rPr>
          <w:lang w:val="zh-CN"/>
        </w:rPr>
      </w:pPr>
    </w:p>
    <w:p w14:paraId="0C8B3939">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14:paraId="2B457E8E">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2838E3D8">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14:paraId="3FB1AD99">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14:paraId="1A6758FE">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14:paraId="7F040C77">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14:paraId="7BA0BFCD">
      <w:pPr>
        <w:spacing w:line="360" w:lineRule="auto"/>
        <w:ind w:left="425" w:hanging="5"/>
        <w:rPr>
          <w:rFonts w:ascii="宋体" w:hAnsi="宋体" w:cs="宋体"/>
        </w:rPr>
      </w:pPr>
    </w:p>
    <w:p w14:paraId="6B55C8EA">
      <w:pPr>
        <w:spacing w:line="360" w:lineRule="auto"/>
        <w:ind w:left="425" w:hanging="5"/>
        <w:rPr>
          <w:rFonts w:ascii="宋体" w:hAnsi="宋体" w:cs="宋体"/>
        </w:rPr>
      </w:pPr>
    </w:p>
    <w:p w14:paraId="33C5B460">
      <w:pPr>
        <w:spacing w:line="360" w:lineRule="auto"/>
        <w:ind w:left="425" w:hanging="5"/>
        <w:rPr>
          <w:rFonts w:ascii="宋体" w:hAnsi="宋体" w:cs="宋体"/>
        </w:rPr>
      </w:pPr>
    </w:p>
    <w:p w14:paraId="3F371C7D">
      <w:pPr>
        <w:spacing w:line="360" w:lineRule="auto"/>
        <w:ind w:left="425" w:hanging="5"/>
        <w:rPr>
          <w:rFonts w:ascii="宋体" w:hAnsi="宋体" w:cs="宋体"/>
        </w:rPr>
      </w:pPr>
    </w:p>
    <w:p w14:paraId="7F789EFD">
      <w:pPr>
        <w:spacing w:line="360" w:lineRule="auto"/>
        <w:ind w:left="425" w:hanging="5"/>
        <w:rPr>
          <w:rFonts w:ascii="宋体" w:hAnsi="宋体" w:cs="宋体"/>
        </w:rPr>
      </w:pPr>
    </w:p>
    <w:p w14:paraId="236DBD40">
      <w:pPr>
        <w:spacing w:line="360" w:lineRule="auto"/>
        <w:ind w:left="425" w:hanging="5"/>
        <w:rPr>
          <w:rFonts w:ascii="宋体" w:hAnsi="宋体" w:cs="宋体"/>
        </w:rPr>
      </w:pPr>
    </w:p>
    <w:p w14:paraId="7FF8138B">
      <w:pPr>
        <w:spacing w:line="360" w:lineRule="auto"/>
        <w:ind w:left="425" w:hanging="5"/>
        <w:rPr>
          <w:rFonts w:ascii="宋体" w:hAnsi="宋体" w:cs="宋体"/>
        </w:rPr>
      </w:pPr>
    </w:p>
    <w:p w14:paraId="42C5BB38">
      <w:pPr>
        <w:spacing w:line="360" w:lineRule="auto"/>
        <w:ind w:left="425" w:hanging="5"/>
        <w:rPr>
          <w:rFonts w:ascii="宋体" w:hAnsi="宋体" w:cs="宋体"/>
        </w:rPr>
      </w:pPr>
    </w:p>
    <w:p w14:paraId="07F4B07D">
      <w:pPr>
        <w:spacing w:line="360" w:lineRule="auto"/>
        <w:ind w:left="425" w:hanging="5"/>
        <w:rPr>
          <w:rFonts w:ascii="宋体" w:hAnsi="宋体" w:cs="宋体"/>
        </w:rPr>
      </w:pPr>
    </w:p>
    <w:p w14:paraId="6367F3C7">
      <w:pPr>
        <w:spacing w:line="360" w:lineRule="auto"/>
        <w:ind w:left="425" w:hanging="5"/>
        <w:rPr>
          <w:rFonts w:ascii="宋体" w:hAnsi="宋体" w:cs="宋体"/>
        </w:rPr>
      </w:pPr>
    </w:p>
    <w:p w14:paraId="62171489">
      <w:pPr>
        <w:spacing w:line="360" w:lineRule="auto"/>
        <w:ind w:left="425" w:hanging="5"/>
        <w:rPr>
          <w:rFonts w:ascii="宋体" w:hAnsi="宋体" w:cs="宋体"/>
        </w:rPr>
      </w:pPr>
    </w:p>
    <w:p w14:paraId="3C7CD057">
      <w:pPr>
        <w:spacing w:line="360" w:lineRule="auto"/>
        <w:ind w:left="425" w:hanging="5"/>
        <w:rPr>
          <w:rFonts w:ascii="宋体" w:hAnsi="宋体" w:cs="宋体"/>
        </w:rPr>
      </w:pPr>
    </w:p>
    <w:p w14:paraId="4FBE23DC">
      <w:pPr>
        <w:spacing w:line="360" w:lineRule="auto"/>
        <w:ind w:left="425" w:hanging="5"/>
        <w:rPr>
          <w:rFonts w:ascii="宋体" w:hAnsi="宋体" w:cs="宋体"/>
        </w:rPr>
      </w:pPr>
    </w:p>
    <w:p w14:paraId="56C93391">
      <w:pPr>
        <w:spacing w:line="360" w:lineRule="auto"/>
        <w:ind w:left="425" w:hanging="5"/>
        <w:rPr>
          <w:rFonts w:ascii="宋体" w:hAnsi="宋体" w:cs="宋体"/>
        </w:rPr>
      </w:pPr>
    </w:p>
    <w:p w14:paraId="6676ADC1">
      <w:pPr>
        <w:spacing w:line="360" w:lineRule="auto"/>
        <w:rPr>
          <w:rFonts w:ascii="宋体" w:hAnsi="宋体" w:cs="宋体"/>
        </w:rPr>
      </w:pPr>
    </w:p>
    <w:p w14:paraId="0B0B12D5">
      <w:pPr>
        <w:numPr>
          <w:ilvl w:val="0"/>
          <w:numId w:val="3"/>
        </w:numPr>
        <w:spacing w:line="400" w:lineRule="exact"/>
        <w:rPr>
          <w:rFonts w:ascii="黑体" w:hAnsi="Times New Roman" w:eastAsia="黑体" w:cs="黑体"/>
          <w:sz w:val="28"/>
          <w:szCs w:val="28"/>
        </w:rPr>
      </w:pPr>
    </w:p>
    <w:p w14:paraId="6085A18B">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14:paraId="13DEE0F8">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14:paraId="45267369">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14:paraId="43AAC935">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14:paraId="3308FC88">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14:paraId="6F27D008">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14:paraId="12CF9260">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14:paraId="374086B2">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14:paraId="3E8330B1">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14:paraId="1897BD6D">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14:paraId="25058E90">
      <w:pPr>
        <w:spacing w:line="360" w:lineRule="auto"/>
        <w:ind w:left="720" w:hanging="720"/>
        <w:rPr>
          <w:rFonts w:ascii="宋体" w:cs="Times New Roman"/>
        </w:rPr>
      </w:pPr>
    </w:p>
    <w:p w14:paraId="25E2E435">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14:paraId="76C146CC">
      <w:pPr>
        <w:spacing w:line="360" w:lineRule="auto"/>
        <w:ind w:firstLine="420" w:firstLineChars="200"/>
        <w:rPr>
          <w:rFonts w:ascii="宋体" w:cs="Times New Roman"/>
        </w:rPr>
      </w:pPr>
      <w:r>
        <w:rPr>
          <w:rFonts w:hint="eastAsia" w:ascii="宋体" w:hAnsi="宋体" w:cs="宋体"/>
        </w:rPr>
        <w:t>特此承诺。</w:t>
      </w:r>
    </w:p>
    <w:p w14:paraId="1C75EAF3">
      <w:pPr>
        <w:rPr>
          <w:rFonts w:cs="Times New Roman"/>
        </w:rPr>
      </w:pPr>
    </w:p>
    <w:p w14:paraId="1D24C996">
      <w:pPr>
        <w:spacing w:line="480" w:lineRule="auto"/>
        <w:rPr>
          <w:rFonts w:cs="Times New Roman"/>
        </w:rPr>
      </w:pPr>
    </w:p>
    <w:p w14:paraId="3622E1B0">
      <w:pPr>
        <w:spacing w:line="480" w:lineRule="auto"/>
      </w:pPr>
      <w:r>
        <w:rPr>
          <w:rFonts w:hint="eastAsia" w:cs="宋体"/>
        </w:rPr>
        <w:t>供应商法定代表人（或法定代表人授权代表）签字或盖私章：</w:t>
      </w:r>
      <w:r>
        <w:t xml:space="preserve">                   </w:t>
      </w:r>
    </w:p>
    <w:p w14:paraId="7EFF7953">
      <w:pPr>
        <w:spacing w:line="480" w:lineRule="auto"/>
      </w:pPr>
      <w:r>
        <w:rPr>
          <w:rFonts w:hint="eastAsia" w:cs="宋体"/>
        </w:rPr>
        <w:t>供应商名称（盖公章）：</w:t>
      </w:r>
      <w:r>
        <w:t xml:space="preserve">                        </w:t>
      </w:r>
    </w:p>
    <w:p w14:paraId="35163178">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14:paraId="36FD75EF">
      <w:pPr>
        <w:spacing w:line="360" w:lineRule="auto"/>
        <w:ind w:left="425" w:hanging="5"/>
        <w:rPr>
          <w:rFonts w:ascii="宋体" w:hAnsi="宋体" w:cs="宋体"/>
        </w:rPr>
      </w:pPr>
    </w:p>
    <w:p w14:paraId="069002A2">
      <w:pPr>
        <w:spacing w:line="360" w:lineRule="auto"/>
        <w:ind w:left="425" w:hanging="5"/>
        <w:rPr>
          <w:rFonts w:ascii="宋体" w:hAnsi="宋体" w:cs="宋体"/>
        </w:rPr>
      </w:pPr>
    </w:p>
    <w:p w14:paraId="1FC680F7">
      <w:pPr>
        <w:spacing w:line="360" w:lineRule="auto"/>
        <w:ind w:left="425" w:hanging="5"/>
        <w:rPr>
          <w:rFonts w:ascii="宋体" w:hAnsi="宋体" w:cs="宋体"/>
        </w:rPr>
      </w:pPr>
    </w:p>
    <w:p w14:paraId="25250F50">
      <w:pPr>
        <w:spacing w:line="360" w:lineRule="auto"/>
        <w:ind w:left="425" w:hanging="5"/>
        <w:rPr>
          <w:rFonts w:ascii="宋体" w:hAnsi="宋体" w:cs="宋体"/>
        </w:rPr>
      </w:pPr>
    </w:p>
    <w:p w14:paraId="72906C47">
      <w:pPr>
        <w:spacing w:line="360" w:lineRule="auto"/>
        <w:rPr>
          <w:rFonts w:ascii="宋体" w:hAnsi="宋体" w:cs="宋体"/>
        </w:rPr>
      </w:pPr>
    </w:p>
    <w:p w14:paraId="7192012C">
      <w:pPr>
        <w:pStyle w:val="2"/>
      </w:pPr>
    </w:p>
    <w:p w14:paraId="67BD417F">
      <w:pPr>
        <w:numPr>
          <w:ilvl w:val="0"/>
          <w:numId w:val="3"/>
        </w:numPr>
        <w:spacing w:line="400" w:lineRule="exact"/>
        <w:rPr>
          <w:rFonts w:ascii="黑体" w:hAnsi="Times New Roman" w:eastAsia="黑体" w:cs="黑体"/>
          <w:sz w:val="28"/>
          <w:szCs w:val="28"/>
        </w:rPr>
      </w:pPr>
    </w:p>
    <w:p w14:paraId="02AFF360">
      <w:pPr>
        <w:pStyle w:val="5"/>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法定代表人（负责人）证明书</w:t>
      </w:r>
      <w:r>
        <w:rPr>
          <w:rFonts w:ascii="宋体" w:hAnsi="宋体" w:eastAsia="宋体" w:cs="宋体"/>
        </w:rPr>
        <w:t>/</w:t>
      </w:r>
      <w:r>
        <w:rPr>
          <w:rFonts w:hint="eastAsia" w:ascii="宋体" w:hAnsi="宋体" w:eastAsia="宋体" w:cs="宋体"/>
        </w:rPr>
        <w:t>法定代表人（负责人）授权书</w:t>
      </w:r>
    </w:p>
    <w:p w14:paraId="07A20889">
      <w:pPr>
        <w:ind w:firstLine="632" w:firstLineChars="300"/>
        <w:rPr>
          <w:rFonts w:ascii="宋体" w:cs="Times New Roman"/>
          <w:b/>
          <w:bCs/>
        </w:rPr>
      </w:pPr>
    </w:p>
    <w:p w14:paraId="24BF2BE8">
      <w:pPr>
        <w:ind w:firstLine="632" w:firstLineChars="300"/>
        <w:rPr>
          <w:rFonts w:cs="Times New Roman"/>
          <w:b/>
        </w:rPr>
      </w:pPr>
      <w:r>
        <w:rPr>
          <w:rFonts w:hint="eastAsia" w:ascii="宋体" w:hAnsi="宋体" w:cs="宋体"/>
          <w:b/>
          <w:bCs/>
        </w:rPr>
        <w:t>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授权书按以下格式填写，如由法定代表人</w:t>
      </w:r>
      <w:r>
        <w:rPr>
          <w:rFonts w:hint="eastAsia" w:ascii="宋体" w:hAnsi="宋体" w:cs="宋体"/>
          <w:b/>
        </w:rPr>
        <w:t>（负责人）</w:t>
      </w:r>
      <w:r>
        <w:rPr>
          <w:rFonts w:hint="eastAsia" w:ascii="宋体" w:hAnsi="宋体" w:cs="宋体"/>
          <w:b/>
          <w:bCs/>
        </w:rPr>
        <w:t>询价报价并签署响应文件，需提供法定代表人</w:t>
      </w:r>
      <w:r>
        <w:rPr>
          <w:rFonts w:hint="eastAsia" w:ascii="宋体" w:hAnsi="宋体" w:cs="宋体"/>
          <w:b/>
        </w:rPr>
        <w:t>（负责人）</w:t>
      </w:r>
      <w:r>
        <w:rPr>
          <w:rFonts w:hint="eastAsia" w:ascii="宋体" w:hAnsi="宋体" w:cs="宋体"/>
          <w:b/>
          <w:bCs/>
        </w:rPr>
        <w:t>证明书，否则需提供法定代表人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w:t>
      </w:r>
    </w:p>
    <w:p w14:paraId="635FEBAE">
      <w:pPr>
        <w:rPr>
          <w:rFonts w:ascii="宋体" w:cs="Times New Roman"/>
          <w:b/>
        </w:rPr>
      </w:pPr>
    </w:p>
    <w:p w14:paraId="08202844">
      <w:pPr>
        <w:widowControl/>
        <w:jc w:val="center"/>
        <w:rPr>
          <w:rFonts w:ascii="黑体" w:hAnsi="宋体" w:eastAsia="黑体" w:cs="黑体"/>
          <w:b/>
          <w:color w:val="000000"/>
          <w:kern w:val="0"/>
          <w:sz w:val="31"/>
          <w:szCs w:val="31"/>
        </w:rPr>
      </w:pPr>
      <w:bookmarkStart w:id="69" w:name="_Toc20491"/>
      <w:r>
        <w:rPr>
          <w:rFonts w:hint="eastAsia" w:ascii="黑体" w:hAnsi="宋体" w:eastAsia="黑体" w:cs="黑体"/>
          <w:b/>
          <w:color w:val="000000"/>
          <w:kern w:val="0"/>
          <w:sz w:val="31"/>
          <w:szCs w:val="31"/>
        </w:rPr>
        <w:t>法定代表人（负责人）证明书</w:t>
      </w:r>
    </w:p>
    <w:p w14:paraId="0A134F19">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w:t>
      </w:r>
      <w:r>
        <w:rPr>
          <w:rFonts w:hint="eastAsia" w:ascii="宋体" w:hAnsi="宋体" w:cs="宋体"/>
        </w:rPr>
        <w:t>（负责人）</w:t>
      </w:r>
      <w:r>
        <w:rPr>
          <w:rFonts w:hint="eastAsia" w:ascii="宋体" w:hAnsi="宋体" w:cs="宋体"/>
          <w:color w:val="000000"/>
          <w:kern w:val="0"/>
        </w:rPr>
        <w:t>，特此证明。</w:t>
      </w:r>
      <w:r>
        <w:rPr>
          <w:rFonts w:ascii="宋体" w:hAnsi="宋体" w:cs="宋体"/>
          <w:color w:val="000000"/>
          <w:kern w:val="0"/>
        </w:rPr>
        <w:t xml:space="preserve"> </w:t>
      </w:r>
    </w:p>
    <w:p w14:paraId="560556FB">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14:paraId="1CD0B6AE">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14:paraId="6EA9EF7F">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14:paraId="227445F7">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14:paraId="7A8B21DD">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14:paraId="4CF32613">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7"/>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14:paraId="571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14:paraId="16359C24">
            <w:pPr>
              <w:spacing w:line="500" w:lineRule="exact"/>
              <w:ind w:left="-359" w:leftChars="-171"/>
              <w:rPr>
                <w:rFonts w:ascii="宋体" w:cs="Times New Roman"/>
              </w:rPr>
            </w:pPr>
          </w:p>
          <w:p w14:paraId="49BFF426">
            <w:pPr>
              <w:spacing w:line="360" w:lineRule="auto"/>
              <w:ind w:left="-359" w:leftChars="-171"/>
              <w:jc w:val="center"/>
              <w:rPr>
                <w:rFonts w:ascii="宋体" w:cs="Times New Roman"/>
              </w:rPr>
            </w:pPr>
            <w:r>
              <w:rPr>
                <w:rFonts w:hint="eastAsia" w:ascii="宋体" w:hAnsi="宋体" w:cs="宋体"/>
              </w:rPr>
              <w:t>法定代表人（负责人）</w:t>
            </w:r>
          </w:p>
          <w:p w14:paraId="3E115103">
            <w:pPr>
              <w:spacing w:line="360" w:lineRule="auto"/>
              <w:ind w:left="-359" w:leftChars="-171"/>
              <w:jc w:val="center"/>
              <w:rPr>
                <w:rFonts w:ascii="宋体" w:cs="Times New Roman"/>
              </w:rPr>
            </w:pPr>
            <w:r>
              <w:rPr>
                <w:rFonts w:hint="eastAsia" w:ascii="宋体" w:hAnsi="宋体" w:cs="宋体"/>
              </w:rPr>
              <w:t>有效居民身份证复印件粘贴处</w:t>
            </w:r>
          </w:p>
          <w:p w14:paraId="4F8D1E7E">
            <w:pPr>
              <w:spacing w:line="360" w:lineRule="auto"/>
              <w:ind w:left="-359" w:leftChars="-171"/>
              <w:jc w:val="center"/>
              <w:rPr>
                <w:rFonts w:ascii="宋体" w:cs="Times New Roman"/>
              </w:rPr>
            </w:pPr>
            <w:r>
              <w:rPr>
                <w:rFonts w:hint="eastAsia" w:ascii="宋体" w:hAnsi="宋体" w:cs="宋体"/>
              </w:rPr>
              <w:t>（正面）</w:t>
            </w:r>
          </w:p>
        </w:tc>
      </w:tr>
    </w:tbl>
    <w:p w14:paraId="12FDCA7D">
      <w:pPr>
        <w:rPr>
          <w:vanish/>
        </w:rPr>
      </w:pPr>
    </w:p>
    <w:tbl>
      <w:tblPr>
        <w:tblStyle w:val="37"/>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14:paraId="77D0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14:paraId="4047B73D">
            <w:pPr>
              <w:spacing w:line="500" w:lineRule="exact"/>
              <w:ind w:left="-359" w:leftChars="-171"/>
              <w:rPr>
                <w:rFonts w:ascii="宋体" w:cs="Times New Roman"/>
              </w:rPr>
            </w:pPr>
          </w:p>
          <w:p w14:paraId="3F416F56">
            <w:pPr>
              <w:spacing w:line="360" w:lineRule="auto"/>
              <w:ind w:left="-359" w:leftChars="-171"/>
              <w:jc w:val="center"/>
              <w:rPr>
                <w:rFonts w:ascii="宋体" w:cs="Times New Roman"/>
              </w:rPr>
            </w:pPr>
            <w:r>
              <w:rPr>
                <w:rFonts w:hint="eastAsia" w:ascii="宋体" w:hAnsi="宋体" w:cs="宋体"/>
              </w:rPr>
              <w:t>法定代表人（负责人）</w:t>
            </w:r>
          </w:p>
          <w:p w14:paraId="579DA70B">
            <w:pPr>
              <w:spacing w:line="360" w:lineRule="auto"/>
              <w:ind w:left="-359" w:leftChars="-171"/>
              <w:jc w:val="center"/>
              <w:rPr>
                <w:rFonts w:ascii="宋体" w:cs="Times New Roman"/>
              </w:rPr>
            </w:pPr>
            <w:r>
              <w:rPr>
                <w:rFonts w:hint="eastAsia" w:ascii="宋体" w:hAnsi="宋体" w:cs="宋体"/>
              </w:rPr>
              <w:t>有效居民身份证复印件粘贴处</w:t>
            </w:r>
          </w:p>
          <w:p w14:paraId="3B67BAA3">
            <w:pPr>
              <w:spacing w:line="360" w:lineRule="auto"/>
              <w:ind w:left="-359" w:leftChars="-171"/>
              <w:jc w:val="center"/>
              <w:rPr>
                <w:rFonts w:ascii="宋体" w:cs="Times New Roman"/>
              </w:rPr>
            </w:pPr>
            <w:r>
              <w:rPr>
                <w:rFonts w:hint="eastAsia" w:ascii="宋体" w:hAnsi="宋体" w:cs="宋体"/>
              </w:rPr>
              <w:t>（反面）</w:t>
            </w:r>
          </w:p>
        </w:tc>
      </w:tr>
    </w:tbl>
    <w:p w14:paraId="71B44446">
      <w:pPr>
        <w:pStyle w:val="10"/>
        <w:spacing w:line="600" w:lineRule="exact"/>
        <w:ind w:firstLine="422"/>
        <w:rPr>
          <w:rFonts w:ascii="宋体" w:cs="Times New Roman"/>
          <w:b/>
          <w:bCs/>
        </w:rPr>
      </w:pPr>
    </w:p>
    <w:p w14:paraId="2FB095B3">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14:paraId="1CF13369">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14:paraId="25574CB9">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14:paraId="29C7C520">
      <w:pPr>
        <w:rPr>
          <w:lang w:val="zh-CN"/>
        </w:rPr>
      </w:pPr>
    </w:p>
    <w:p w14:paraId="3A189B36">
      <w:pPr>
        <w:rPr>
          <w:lang w:val="zh-CN"/>
        </w:rPr>
      </w:pPr>
    </w:p>
    <w:p w14:paraId="0D185BA8">
      <w:pPr>
        <w:rPr>
          <w:lang w:val="zh-CN"/>
        </w:rPr>
      </w:pPr>
    </w:p>
    <w:p w14:paraId="01C3A1AA">
      <w:pPr>
        <w:rPr>
          <w:rFonts w:cs="Times New Roman"/>
        </w:rPr>
      </w:pPr>
    </w:p>
    <w:p w14:paraId="375E648E">
      <w:pPr>
        <w:pStyle w:val="4"/>
        <w:spacing w:line="360" w:lineRule="auto"/>
        <w:jc w:val="center"/>
        <w:rPr>
          <w:rFonts w:ascii="宋体" w:hAnsi="宋体" w:cs="宋体"/>
          <w:sz w:val="32"/>
          <w:szCs w:val="32"/>
        </w:rPr>
      </w:pPr>
      <w:r>
        <w:rPr>
          <w:rFonts w:hint="eastAsia" w:ascii="宋体" w:hAnsi="宋体" w:cs="宋体"/>
          <w:sz w:val="32"/>
          <w:szCs w:val="32"/>
        </w:rPr>
        <w:t>法定代表人（负责人）授权委托书</w:t>
      </w:r>
      <w:bookmarkEnd w:id="69"/>
    </w:p>
    <w:p w14:paraId="0A6B67FF">
      <w:pPr>
        <w:spacing w:line="360" w:lineRule="auto"/>
        <w:rPr>
          <w:rFonts w:ascii="宋体" w:cs="Times New Roman"/>
        </w:rPr>
      </w:pPr>
      <w:r>
        <w:rPr>
          <w:rFonts w:hint="eastAsia" w:ascii="宋体" w:hAnsi="宋体" w:cs="宋体"/>
        </w:rPr>
        <w:t>致：广西南宁技师学院</w:t>
      </w:r>
    </w:p>
    <w:p w14:paraId="67C971A9">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w:t>
      </w:r>
      <w:r>
        <w:rPr>
          <w:rFonts w:hint="eastAsia" w:ascii="宋体" w:hAnsi="宋体" w:cs="宋体"/>
          <w:u w:val="single"/>
        </w:rPr>
        <w:t>（负责人）</w:t>
      </w:r>
      <w:r>
        <w:rPr>
          <w:rFonts w:hint="eastAsia" w:ascii="宋体" w:hAnsi="宋体" w:cs="宋体"/>
          <w:color w:val="000000"/>
          <w:kern w:val="0"/>
          <w:u w:val="single"/>
        </w:rPr>
        <w:t>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14:paraId="606FC718">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14:paraId="5EA9AD41">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14:paraId="53CF6853">
      <w:pPr>
        <w:pStyle w:val="36"/>
        <w:ind w:firstLine="210"/>
      </w:pPr>
    </w:p>
    <w:p w14:paraId="37975C44">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14:paraId="5F60AB4C">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14:paraId="59AC0C6F">
      <w:pPr>
        <w:widowControl/>
        <w:spacing w:line="360" w:lineRule="auto"/>
        <w:jc w:val="left"/>
        <w:rPr>
          <w:rFonts w:ascii="宋体" w:cs="Times New Roman"/>
          <w:color w:val="000000"/>
          <w:kern w:val="0"/>
        </w:rPr>
      </w:pPr>
    </w:p>
    <w:p w14:paraId="3D64FCCE">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w:t>
      </w:r>
      <w:r>
        <w:rPr>
          <w:rFonts w:hint="eastAsia" w:ascii="宋体" w:hAnsi="宋体" w:cs="宋体"/>
          <w:b/>
        </w:rPr>
        <w:t>（负责人）</w:t>
      </w:r>
      <w:r>
        <w:rPr>
          <w:rFonts w:hint="eastAsia" w:ascii="宋体" w:hAnsi="宋体" w:cs="宋体"/>
          <w:b/>
          <w:bCs/>
          <w:color w:val="000000"/>
          <w:kern w:val="0"/>
        </w:rPr>
        <w:t>（签字或盖章）：</w:t>
      </w:r>
      <w:r>
        <w:rPr>
          <w:rFonts w:ascii="宋体" w:hAnsi="宋体" w:cs="宋体"/>
          <w:b/>
          <w:bCs/>
          <w:color w:val="000000"/>
          <w:kern w:val="0"/>
        </w:rPr>
        <w:t xml:space="preserve"> </w:t>
      </w:r>
    </w:p>
    <w:p w14:paraId="24889171">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7"/>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14:paraId="78D1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14:paraId="79E84286">
            <w:pPr>
              <w:spacing w:line="500" w:lineRule="exact"/>
              <w:ind w:left="-359" w:leftChars="-171"/>
              <w:rPr>
                <w:rFonts w:ascii="宋体" w:cs="Times New Roman"/>
              </w:rPr>
            </w:pPr>
          </w:p>
          <w:p w14:paraId="5829178E">
            <w:pPr>
              <w:spacing w:line="360" w:lineRule="auto"/>
              <w:ind w:left="-359" w:leftChars="-171"/>
              <w:jc w:val="center"/>
              <w:rPr>
                <w:rFonts w:ascii="宋体" w:cs="Times New Roman"/>
              </w:rPr>
            </w:pPr>
            <w:r>
              <w:rPr>
                <w:rFonts w:hint="eastAsia" w:ascii="宋体" w:hAnsi="宋体" w:cs="宋体"/>
              </w:rPr>
              <w:t>被授权人（授权代表）</w:t>
            </w:r>
          </w:p>
          <w:p w14:paraId="0FCF20F9">
            <w:pPr>
              <w:spacing w:line="360" w:lineRule="auto"/>
              <w:ind w:left="-359" w:leftChars="-171"/>
              <w:jc w:val="center"/>
              <w:rPr>
                <w:rFonts w:ascii="宋体" w:cs="Times New Roman"/>
              </w:rPr>
            </w:pPr>
            <w:r>
              <w:rPr>
                <w:rFonts w:hint="eastAsia" w:ascii="宋体" w:hAnsi="宋体" w:cs="宋体"/>
              </w:rPr>
              <w:t>有效居民身份证复印件粘贴处</w:t>
            </w:r>
          </w:p>
          <w:p w14:paraId="78F42CD5">
            <w:pPr>
              <w:spacing w:line="360" w:lineRule="auto"/>
              <w:ind w:left="-359" w:leftChars="-171"/>
              <w:jc w:val="center"/>
              <w:rPr>
                <w:rFonts w:ascii="宋体" w:cs="Times New Roman"/>
              </w:rPr>
            </w:pPr>
            <w:r>
              <w:rPr>
                <w:rFonts w:hint="eastAsia" w:ascii="宋体" w:hAnsi="宋体" w:cs="宋体"/>
              </w:rPr>
              <w:t>（正面）</w:t>
            </w:r>
          </w:p>
        </w:tc>
      </w:tr>
    </w:tbl>
    <w:p w14:paraId="1125D166">
      <w:pPr>
        <w:rPr>
          <w:vanish/>
        </w:rPr>
      </w:pPr>
    </w:p>
    <w:tbl>
      <w:tblPr>
        <w:tblStyle w:val="37"/>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14:paraId="1D83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14:paraId="153E1B00">
            <w:pPr>
              <w:spacing w:line="500" w:lineRule="exact"/>
              <w:ind w:left="-359" w:leftChars="-171"/>
              <w:rPr>
                <w:rFonts w:ascii="宋体" w:cs="Times New Roman"/>
              </w:rPr>
            </w:pPr>
          </w:p>
          <w:p w14:paraId="5135092C">
            <w:pPr>
              <w:spacing w:line="360" w:lineRule="auto"/>
              <w:ind w:left="-359" w:leftChars="-171"/>
              <w:jc w:val="center"/>
              <w:rPr>
                <w:rFonts w:ascii="宋体" w:cs="Times New Roman"/>
              </w:rPr>
            </w:pPr>
            <w:r>
              <w:rPr>
                <w:rFonts w:hint="eastAsia" w:ascii="宋体" w:hAnsi="宋体" w:cs="宋体"/>
              </w:rPr>
              <w:t>被授权人（授权代表）</w:t>
            </w:r>
          </w:p>
          <w:p w14:paraId="6D1D1031">
            <w:pPr>
              <w:spacing w:line="360" w:lineRule="auto"/>
              <w:ind w:left="-359" w:leftChars="-171"/>
              <w:jc w:val="center"/>
              <w:rPr>
                <w:rFonts w:ascii="宋体" w:cs="Times New Roman"/>
              </w:rPr>
            </w:pPr>
            <w:r>
              <w:rPr>
                <w:rFonts w:hint="eastAsia" w:ascii="宋体" w:hAnsi="宋体" w:cs="宋体"/>
              </w:rPr>
              <w:t>有效居民身份证复印件粘贴处</w:t>
            </w:r>
          </w:p>
          <w:p w14:paraId="13B9C720">
            <w:pPr>
              <w:spacing w:line="360" w:lineRule="auto"/>
              <w:ind w:left="-359" w:leftChars="-171"/>
              <w:jc w:val="center"/>
              <w:rPr>
                <w:rFonts w:ascii="宋体" w:cs="Times New Roman"/>
              </w:rPr>
            </w:pPr>
            <w:r>
              <w:rPr>
                <w:rFonts w:hint="eastAsia" w:ascii="宋体" w:hAnsi="宋体" w:cs="宋体"/>
              </w:rPr>
              <w:t>（反面）</w:t>
            </w:r>
          </w:p>
        </w:tc>
      </w:tr>
    </w:tbl>
    <w:p w14:paraId="13338F1B">
      <w:pPr>
        <w:spacing w:line="460" w:lineRule="exact"/>
        <w:rPr>
          <w:b/>
          <w:color w:val="000000"/>
        </w:rPr>
      </w:pPr>
    </w:p>
    <w:p w14:paraId="22C998F6">
      <w:pPr>
        <w:spacing w:line="460" w:lineRule="exact"/>
        <w:rPr>
          <w:b/>
          <w:color w:val="000000"/>
        </w:rPr>
      </w:pPr>
    </w:p>
    <w:p w14:paraId="686CEB7E">
      <w:pPr>
        <w:widowControl/>
        <w:jc w:val="left"/>
        <w:rPr>
          <w:rFonts w:ascii="宋体" w:hAnsi="Times New Roman" w:cs="宋体"/>
          <w:color w:val="000000"/>
          <w:szCs w:val="24"/>
        </w:rPr>
      </w:pPr>
    </w:p>
    <w:p w14:paraId="37F5841A">
      <w:pPr>
        <w:tabs>
          <w:tab w:val="left" w:pos="284"/>
        </w:tabs>
        <w:spacing w:line="400" w:lineRule="exact"/>
        <w:ind w:left="283" w:leftChars="135" w:firstLine="980" w:firstLineChars="350"/>
        <w:rPr>
          <w:rFonts w:ascii="黑体" w:hAnsi="Times New Roman" w:eastAsia="黑体" w:cs="黑体"/>
          <w:sz w:val="28"/>
          <w:szCs w:val="28"/>
        </w:rPr>
      </w:pPr>
    </w:p>
    <w:p w14:paraId="0C4D157C">
      <w:pPr>
        <w:tabs>
          <w:tab w:val="left" w:pos="284"/>
        </w:tabs>
        <w:spacing w:line="400" w:lineRule="exact"/>
        <w:ind w:left="283" w:leftChars="135" w:firstLine="980" w:firstLineChars="350"/>
        <w:rPr>
          <w:rFonts w:ascii="黑体" w:hAnsi="Times New Roman" w:eastAsia="黑体" w:cs="黑体"/>
          <w:sz w:val="28"/>
          <w:szCs w:val="28"/>
        </w:rPr>
      </w:pPr>
    </w:p>
    <w:p w14:paraId="0ECBED23">
      <w:pPr>
        <w:pStyle w:val="36"/>
        <w:ind w:firstLine="210"/>
      </w:pPr>
    </w:p>
    <w:p w14:paraId="056E26D6">
      <w:pPr>
        <w:pStyle w:val="36"/>
        <w:ind w:firstLine="210"/>
      </w:pPr>
    </w:p>
    <w:p w14:paraId="1879AAB5">
      <w:pPr>
        <w:pStyle w:val="36"/>
        <w:ind w:firstLine="210"/>
      </w:pPr>
    </w:p>
    <w:p w14:paraId="6F933002">
      <w:pPr>
        <w:pStyle w:val="36"/>
        <w:ind w:firstLine="210"/>
      </w:pPr>
    </w:p>
    <w:p w14:paraId="0A992E82">
      <w:pPr>
        <w:pStyle w:val="36"/>
        <w:ind w:firstLine="210"/>
      </w:pPr>
    </w:p>
    <w:p w14:paraId="41571E3C">
      <w:pPr>
        <w:pStyle w:val="36"/>
        <w:ind w:firstLine="210"/>
      </w:pPr>
    </w:p>
    <w:p w14:paraId="0945B602">
      <w:pPr>
        <w:pStyle w:val="36"/>
        <w:ind w:firstLine="210"/>
      </w:pPr>
    </w:p>
    <w:p w14:paraId="207EF81B">
      <w:pPr>
        <w:numPr>
          <w:ilvl w:val="0"/>
          <w:numId w:val="3"/>
        </w:numPr>
        <w:spacing w:line="400" w:lineRule="exact"/>
        <w:rPr>
          <w:rFonts w:ascii="黑体" w:hAnsi="Times New Roman" w:eastAsia="黑体" w:cs="黑体"/>
          <w:sz w:val="28"/>
          <w:szCs w:val="28"/>
        </w:rPr>
      </w:pPr>
    </w:p>
    <w:p w14:paraId="480F4CAD">
      <w:pPr>
        <w:widowControl/>
        <w:jc w:val="center"/>
        <w:rPr>
          <w:b/>
          <w:sz w:val="24"/>
          <w:highlight w:val="none"/>
        </w:rPr>
      </w:pPr>
      <w:r>
        <w:rPr>
          <w:rFonts w:hint="eastAsia" w:ascii="Times New Roman" w:hAnsi="Times New Roman" w:cs="宋体"/>
          <w:b/>
          <w:sz w:val="24"/>
        </w:rPr>
        <w:t>“</w:t>
      </w:r>
      <w:bookmarkStart w:id="71" w:name="_GoBack"/>
      <w:r>
        <w:rPr>
          <w:rFonts w:hint="eastAsia" w:ascii="Times New Roman" w:hAnsi="Times New Roman" w:cs="宋体"/>
          <w:b/>
          <w:sz w:val="24"/>
          <w:highlight w:val="none"/>
        </w:rPr>
        <w:t>▲”条款响应一览表</w:t>
      </w:r>
    </w:p>
    <w:p w14:paraId="2A56FCA5">
      <w:pPr>
        <w:adjustRightInd w:val="0"/>
        <w:snapToGrid w:val="0"/>
        <w:spacing w:line="460" w:lineRule="exact"/>
        <w:ind w:left="59" w:leftChars="28" w:firstLine="420" w:firstLineChars="200"/>
        <w:rPr>
          <w:rFonts w:hint="eastAsia" w:ascii="宋体" w:hAnsi="宋体" w:eastAsia="宋体" w:cs="宋体"/>
          <w:highlight w:val="none"/>
        </w:rPr>
      </w:pPr>
      <w:r>
        <w:rPr>
          <w:rFonts w:hint="eastAsia" w:ascii="宋体" w:hAnsi="宋体" w:eastAsia="宋体" w:cs="宋体"/>
          <w:highlight w:val="none"/>
        </w:rPr>
        <w:t>说明：供应商必须对应询价文件</w:t>
      </w:r>
      <w:r>
        <w:rPr>
          <w:rFonts w:hint="eastAsia" w:ascii="宋体" w:hAnsi="宋体" w:eastAsia="宋体" w:cs="宋体"/>
          <w:highlight w:val="none"/>
          <w:lang w:val="en-US" w:eastAsia="zh-CN"/>
        </w:rPr>
        <w:t>第二章“采购需求书”</w:t>
      </w:r>
      <w:r>
        <w:rPr>
          <w:rFonts w:hint="eastAsia" w:ascii="宋体" w:hAnsi="宋体" w:eastAsia="宋体" w:cs="宋体"/>
          <w:highlight w:val="none"/>
        </w:rPr>
        <w:t>带“▲”的实质性条款逐条应答并按要求填写下表。</w:t>
      </w:r>
    </w:p>
    <w:bookmarkEnd w:id="71"/>
    <w:p w14:paraId="78579CA0">
      <w:pPr>
        <w:spacing w:line="400" w:lineRule="exact"/>
        <w:ind w:firstLine="420" w:firstLineChars="2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14:paraId="63D74BB7">
      <w:pPr>
        <w:spacing w:line="400" w:lineRule="exact"/>
        <w:ind w:firstLine="420" w:firstLineChars="2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7"/>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355"/>
        <w:gridCol w:w="2531"/>
        <w:gridCol w:w="1776"/>
      </w:tblGrid>
      <w:tr w14:paraId="085F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02DCF91D">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7353346E">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14:paraId="4ADDB755">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14:paraId="3116F843">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14:paraId="32C62F8E">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14:paraId="62D2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100CB1DD">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187ECB03">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1081F3A3">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17C8D0F6">
            <w:pPr>
              <w:ind w:left="-78" w:leftChars="-37" w:right="-80" w:rightChars="-38"/>
              <w:jc w:val="center"/>
              <w:rPr>
                <w:rFonts w:ascii="宋体" w:hAnsi="Times New Roman" w:cs="宋体"/>
                <w:sz w:val="18"/>
                <w:szCs w:val="18"/>
              </w:rPr>
            </w:pPr>
          </w:p>
        </w:tc>
      </w:tr>
      <w:tr w14:paraId="78F6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4BB52A98">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741D78E9">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1609F6B8">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7CC0D27C">
            <w:pPr>
              <w:ind w:left="-78" w:leftChars="-37" w:right="-80" w:rightChars="-38"/>
              <w:jc w:val="center"/>
              <w:rPr>
                <w:rFonts w:ascii="宋体" w:hAnsi="Times New Roman" w:cs="宋体"/>
                <w:sz w:val="18"/>
                <w:szCs w:val="18"/>
              </w:rPr>
            </w:pPr>
          </w:p>
        </w:tc>
      </w:tr>
      <w:tr w14:paraId="0D8D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3FCEFCDD">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7546AF74">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47F337F0">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21278ACE">
            <w:pPr>
              <w:ind w:left="-78" w:leftChars="-37" w:right="-80" w:rightChars="-38"/>
              <w:jc w:val="center"/>
              <w:rPr>
                <w:rFonts w:ascii="宋体" w:hAnsi="Times New Roman" w:cs="宋体"/>
                <w:sz w:val="18"/>
                <w:szCs w:val="18"/>
              </w:rPr>
            </w:pPr>
          </w:p>
        </w:tc>
      </w:tr>
      <w:tr w14:paraId="18EF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0807847E">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70A34CCB">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4877ABFD">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2E345AE9">
            <w:pPr>
              <w:ind w:left="-78" w:leftChars="-37" w:right="-80" w:rightChars="-38"/>
              <w:jc w:val="center"/>
              <w:rPr>
                <w:rFonts w:ascii="宋体" w:hAnsi="Times New Roman" w:cs="宋体"/>
                <w:sz w:val="18"/>
                <w:szCs w:val="18"/>
              </w:rPr>
            </w:pPr>
          </w:p>
        </w:tc>
      </w:tr>
      <w:tr w14:paraId="4457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0D9E1D54">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40F672EF">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4FDD2B76">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1377906F">
            <w:pPr>
              <w:ind w:left="-78" w:leftChars="-37" w:right="-80" w:rightChars="-38"/>
              <w:jc w:val="center"/>
              <w:rPr>
                <w:rFonts w:ascii="宋体" w:hAnsi="Times New Roman" w:cs="宋体"/>
                <w:sz w:val="18"/>
                <w:szCs w:val="18"/>
              </w:rPr>
            </w:pPr>
          </w:p>
        </w:tc>
      </w:tr>
      <w:tr w14:paraId="4E91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14:paraId="6006804A">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14:paraId="0B9E381D">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14:paraId="4D67BF83">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14:paraId="7F746D82">
            <w:pPr>
              <w:ind w:left="-78" w:leftChars="-37" w:right="-80" w:rightChars="-38"/>
              <w:jc w:val="center"/>
              <w:rPr>
                <w:rFonts w:ascii="宋体" w:hAnsi="Times New Roman" w:cs="宋体"/>
                <w:sz w:val="18"/>
                <w:szCs w:val="18"/>
              </w:rPr>
            </w:pPr>
          </w:p>
        </w:tc>
      </w:tr>
    </w:tbl>
    <w:p w14:paraId="0E18A89A">
      <w:pPr>
        <w:adjustRightInd w:val="0"/>
        <w:snapToGrid w:val="0"/>
        <w:spacing w:line="460" w:lineRule="exact"/>
        <w:ind w:left="59" w:leftChars="28" w:firstLine="420" w:firstLineChars="200"/>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14:paraId="79DDAD9D">
      <w:pPr>
        <w:spacing w:line="500" w:lineRule="exact"/>
        <w:ind w:firstLine="109" w:firstLineChars="50"/>
        <w:rPr>
          <w:spacing w:val="4"/>
        </w:rPr>
      </w:pPr>
    </w:p>
    <w:p w14:paraId="0B96B053">
      <w:pPr>
        <w:ind w:firstLine="420" w:firstLineChars="200"/>
      </w:pPr>
      <w:r>
        <w:rPr>
          <w:rFonts w:hint="eastAsia" w:ascii="Times New Roman" w:hAnsi="Times New Roman" w:cs="宋体"/>
        </w:rPr>
        <w:t>供应商名称（公章）：</w:t>
      </w:r>
    </w:p>
    <w:p w14:paraId="4570E137">
      <w:pPr>
        <w:ind w:firstLine="420" w:firstLineChars="200"/>
      </w:pPr>
    </w:p>
    <w:p w14:paraId="147068E9">
      <w:pPr>
        <w:ind w:firstLine="420" w:firstLineChars="200"/>
      </w:pPr>
      <w:r>
        <w:rPr>
          <w:rFonts w:hint="eastAsia" w:ascii="Times New Roman" w:hAnsi="Times New Roman" w:cs="宋体"/>
        </w:rPr>
        <w:t>法定代表人或其授权代表（签名）：</w:t>
      </w:r>
    </w:p>
    <w:p w14:paraId="6B670A83">
      <w:pPr>
        <w:ind w:firstLine="420" w:firstLineChars="200"/>
      </w:pPr>
    </w:p>
    <w:p w14:paraId="7061CC30">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14:paraId="33BEA784">
      <w:pPr>
        <w:widowControl/>
        <w:jc w:val="left"/>
        <w:rPr>
          <w:rFonts w:ascii="黑体" w:hAnsi="Times New Roman" w:eastAsia="黑体" w:cs="黑体"/>
          <w:sz w:val="28"/>
          <w:szCs w:val="28"/>
        </w:rPr>
      </w:pPr>
    </w:p>
    <w:p w14:paraId="373E7FB1">
      <w:pPr>
        <w:widowControl/>
        <w:jc w:val="left"/>
        <w:rPr>
          <w:rFonts w:ascii="黑体" w:hAnsi="Times New Roman" w:eastAsia="黑体" w:cs="黑体"/>
          <w:sz w:val="28"/>
          <w:szCs w:val="28"/>
        </w:rPr>
      </w:pPr>
    </w:p>
    <w:p w14:paraId="4757FD97">
      <w:pPr>
        <w:pStyle w:val="36"/>
        <w:ind w:firstLine="210"/>
      </w:pPr>
    </w:p>
    <w:p w14:paraId="53AEC28A">
      <w:pPr>
        <w:pStyle w:val="36"/>
        <w:ind w:firstLine="210"/>
      </w:pPr>
    </w:p>
    <w:p w14:paraId="521007EE">
      <w:pPr>
        <w:pStyle w:val="36"/>
        <w:ind w:firstLine="210"/>
      </w:pPr>
    </w:p>
    <w:p w14:paraId="53AEB1EF">
      <w:pPr>
        <w:pStyle w:val="36"/>
        <w:ind w:firstLine="210"/>
      </w:pPr>
    </w:p>
    <w:p w14:paraId="636E6D20">
      <w:pPr>
        <w:pStyle w:val="36"/>
        <w:ind w:firstLine="210"/>
      </w:pPr>
    </w:p>
    <w:p w14:paraId="33617AC4">
      <w:pPr>
        <w:pStyle w:val="36"/>
        <w:ind w:firstLine="210"/>
      </w:pPr>
    </w:p>
    <w:p w14:paraId="2AA7F95B">
      <w:pPr>
        <w:pStyle w:val="36"/>
        <w:ind w:firstLine="210"/>
      </w:pPr>
    </w:p>
    <w:p w14:paraId="0D7F6D40">
      <w:pPr>
        <w:pStyle w:val="36"/>
        <w:ind w:firstLine="210"/>
      </w:pPr>
    </w:p>
    <w:p w14:paraId="6E1C8C76">
      <w:pPr>
        <w:pStyle w:val="36"/>
        <w:ind w:firstLine="210"/>
      </w:pPr>
    </w:p>
    <w:p w14:paraId="04C681A9">
      <w:pPr>
        <w:pStyle w:val="36"/>
        <w:ind w:firstLine="210"/>
      </w:pPr>
    </w:p>
    <w:p w14:paraId="05634798">
      <w:pPr>
        <w:pStyle w:val="36"/>
        <w:ind w:left="0" w:leftChars="0" w:firstLine="0" w:firstLineChars="0"/>
      </w:pPr>
    </w:p>
    <w:p w14:paraId="0ADF5ADB">
      <w:pPr>
        <w:pStyle w:val="36"/>
        <w:ind w:firstLine="210"/>
      </w:pPr>
    </w:p>
    <w:p w14:paraId="69CFE146">
      <w:pPr>
        <w:numPr>
          <w:ilvl w:val="0"/>
          <w:numId w:val="3"/>
        </w:numPr>
        <w:spacing w:line="400" w:lineRule="exact"/>
        <w:rPr>
          <w:rFonts w:ascii="黑体" w:hAnsi="Times New Roman" w:eastAsia="黑体" w:cs="黑体"/>
          <w:sz w:val="28"/>
          <w:szCs w:val="28"/>
        </w:rPr>
      </w:pPr>
    </w:p>
    <w:p w14:paraId="111FCBA8">
      <w:pPr>
        <w:pStyle w:val="4"/>
        <w:spacing w:line="360" w:lineRule="auto"/>
        <w:jc w:val="center"/>
        <w:rPr>
          <w:rFonts w:ascii="黑体" w:eastAsia="黑体" w:cs="黑体"/>
          <w:b w:val="0"/>
          <w:bCs w:val="0"/>
          <w:sz w:val="32"/>
          <w:szCs w:val="32"/>
        </w:rPr>
      </w:pPr>
      <w:r>
        <w:rPr>
          <w:rFonts w:hint="eastAsia" w:ascii="宋体" w:hAnsi="宋体" w:cs="宋体"/>
          <w:sz w:val="32"/>
          <w:szCs w:val="32"/>
        </w:rPr>
        <w:t>报价表</w:t>
      </w:r>
    </w:p>
    <w:p w14:paraId="0092EF1A">
      <w:pPr>
        <w:pStyle w:val="5"/>
        <w:jc w:val="center"/>
        <w:rPr>
          <w:rFonts w:ascii="宋体" w:hAnsi="宋体" w:eastAsia="宋体" w:cs="宋体"/>
          <w:sz w:val="24"/>
          <w:szCs w:val="24"/>
        </w:rPr>
      </w:pPr>
      <w:r>
        <w:rPr>
          <w:rFonts w:hint="eastAsia" w:ascii="宋体" w:hAnsi="宋体" w:eastAsia="宋体" w:cs="宋体"/>
          <w:sz w:val="24"/>
          <w:szCs w:val="24"/>
        </w:rPr>
        <w:t>报价一览表</w:t>
      </w:r>
    </w:p>
    <w:tbl>
      <w:tblPr>
        <w:tblStyle w:val="37"/>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18"/>
        <w:gridCol w:w="3543"/>
        <w:gridCol w:w="1479"/>
      </w:tblGrid>
      <w:tr w14:paraId="72DAE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818" w:type="dxa"/>
            <w:shd w:val="clear" w:color="auto" w:fill="D9D9D9"/>
            <w:vAlign w:val="center"/>
          </w:tcPr>
          <w:p w14:paraId="7D28FBBF">
            <w:pPr>
              <w:jc w:val="center"/>
              <w:rPr>
                <w:b/>
              </w:rPr>
            </w:pPr>
            <w:bookmarkStart w:id="70" w:name="_Hlk38364649"/>
            <w:r>
              <w:rPr>
                <w:rFonts w:hint="eastAsia"/>
                <w:b/>
              </w:rPr>
              <w:t>项目名称</w:t>
            </w:r>
          </w:p>
        </w:tc>
        <w:tc>
          <w:tcPr>
            <w:tcW w:w="3543" w:type="dxa"/>
            <w:shd w:val="clear" w:color="auto" w:fill="D9D9D9"/>
            <w:vAlign w:val="center"/>
          </w:tcPr>
          <w:p w14:paraId="5A0AAAE7">
            <w:pPr>
              <w:jc w:val="center"/>
              <w:rPr>
                <w:b/>
              </w:rPr>
            </w:pPr>
            <w:r>
              <w:rPr>
                <w:rFonts w:hint="eastAsia"/>
                <w:b/>
              </w:rPr>
              <w:t>投标总报价</w:t>
            </w:r>
          </w:p>
        </w:tc>
        <w:tc>
          <w:tcPr>
            <w:tcW w:w="1479" w:type="dxa"/>
            <w:shd w:val="clear" w:color="auto" w:fill="D9D9D9"/>
            <w:vAlign w:val="center"/>
          </w:tcPr>
          <w:p w14:paraId="20A43B35">
            <w:pPr>
              <w:jc w:val="center"/>
              <w:rPr>
                <w:b/>
              </w:rPr>
            </w:pPr>
            <w:r>
              <w:rPr>
                <w:rFonts w:hint="eastAsia"/>
                <w:b/>
              </w:rPr>
              <w:t>备注</w:t>
            </w:r>
          </w:p>
        </w:tc>
      </w:tr>
      <w:tr w14:paraId="5FADD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818" w:type="dxa"/>
            <w:vMerge w:val="restart"/>
            <w:vAlign w:val="center"/>
          </w:tcPr>
          <w:p w14:paraId="46FFC14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543" w:type="dxa"/>
            <w:vAlign w:val="center"/>
          </w:tcPr>
          <w:p w14:paraId="641F516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479" w:type="dxa"/>
            <w:vMerge w:val="restart"/>
            <w:vAlign w:val="center"/>
          </w:tcPr>
          <w:p w14:paraId="39094C40">
            <w:pPr>
              <w:jc w:val="center"/>
            </w:pPr>
          </w:p>
        </w:tc>
      </w:tr>
      <w:tr w14:paraId="2F63A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818" w:type="dxa"/>
            <w:vMerge w:val="continue"/>
            <w:vAlign w:val="center"/>
          </w:tcPr>
          <w:p w14:paraId="78E52F89">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543" w:type="dxa"/>
            <w:vAlign w:val="center"/>
          </w:tcPr>
          <w:p w14:paraId="7CDC078B">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479" w:type="dxa"/>
            <w:vMerge w:val="continue"/>
            <w:vAlign w:val="center"/>
          </w:tcPr>
          <w:p w14:paraId="75B1891D">
            <w:pPr>
              <w:jc w:val="center"/>
            </w:pPr>
          </w:p>
        </w:tc>
      </w:tr>
      <w:bookmarkEnd w:id="70"/>
    </w:tbl>
    <w:p w14:paraId="76E55F86">
      <w:pPr>
        <w:jc w:val="center"/>
        <w:rPr>
          <w:rFonts w:cs="Times New Roman"/>
        </w:rPr>
      </w:pPr>
    </w:p>
    <w:p w14:paraId="46F3DD4C">
      <w:pPr>
        <w:spacing w:line="360" w:lineRule="auto"/>
        <w:rPr>
          <w:rFonts w:ascii="宋体" w:cs="Times New Roman"/>
        </w:rPr>
      </w:pPr>
      <w:r>
        <w:rPr>
          <w:rFonts w:hint="eastAsia" w:ascii="宋体" w:hAnsi="宋体" w:cs="宋体"/>
        </w:rPr>
        <w:t>注：</w:t>
      </w:r>
    </w:p>
    <w:p w14:paraId="469DA5B9">
      <w:pPr>
        <w:numPr>
          <w:ilvl w:val="3"/>
          <w:numId w:val="5"/>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14:paraId="110E65CB">
      <w:pPr>
        <w:numPr>
          <w:ilvl w:val="3"/>
          <w:numId w:val="5"/>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14:paraId="10D2103E">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14:paraId="17B3BDAA">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14:paraId="6B454431">
      <w:pPr>
        <w:pStyle w:val="36"/>
        <w:ind w:firstLine="210"/>
        <w:rPr>
          <w:rFonts w:ascii="宋体" w:cs="Times New Roman"/>
        </w:rPr>
      </w:pPr>
    </w:p>
    <w:p w14:paraId="4AFBF7BC">
      <w:pPr>
        <w:pStyle w:val="36"/>
        <w:ind w:firstLine="210"/>
        <w:rPr>
          <w:rFonts w:ascii="宋体" w:cs="Times New Roman"/>
        </w:rPr>
      </w:pPr>
    </w:p>
    <w:p w14:paraId="305279EA">
      <w:pPr>
        <w:pStyle w:val="36"/>
        <w:ind w:firstLine="0" w:firstLineChars="0"/>
        <w:rPr>
          <w:rFonts w:ascii="宋体" w:cs="Times New Roman"/>
        </w:rPr>
      </w:pPr>
    </w:p>
    <w:p w14:paraId="29731611">
      <w:pPr>
        <w:spacing w:line="480" w:lineRule="auto"/>
        <w:rPr>
          <w:rFonts w:cs="Times New Roman"/>
        </w:rPr>
      </w:pPr>
      <w:r>
        <w:rPr>
          <w:rFonts w:hint="eastAsia" w:cs="宋体"/>
        </w:rPr>
        <w:t>供应商法定代表人（或法定代表人授权代表）签字或盖私章：</w:t>
      </w:r>
    </w:p>
    <w:p w14:paraId="172654C7">
      <w:pPr>
        <w:spacing w:line="480" w:lineRule="auto"/>
        <w:rPr>
          <w:rFonts w:cs="Times New Roman"/>
        </w:rPr>
      </w:pPr>
      <w:r>
        <w:rPr>
          <w:rFonts w:hint="eastAsia" w:cs="宋体"/>
        </w:rPr>
        <w:t>供应商名称（盖公章）：</w:t>
      </w:r>
      <w:r>
        <w:t xml:space="preserve"> </w:t>
      </w:r>
    </w:p>
    <w:p w14:paraId="63965749">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14:paraId="7BE2BDB0">
      <w:pPr>
        <w:numPr>
          <w:ilvl w:val="0"/>
          <w:numId w:val="3"/>
        </w:numPr>
        <w:spacing w:line="400" w:lineRule="exact"/>
        <w:rPr>
          <w:rFonts w:hint="eastAsia" w:ascii="黑体" w:hAnsi="Times New Roman" w:eastAsia="黑体" w:cs="黑体"/>
          <w:sz w:val="28"/>
          <w:szCs w:val="28"/>
        </w:rPr>
        <w:sectPr>
          <w:pgSz w:w="11906" w:h="16838"/>
          <w:pgMar w:top="1440" w:right="1286" w:bottom="1440" w:left="1440" w:header="851" w:footer="992" w:gutter="0"/>
          <w:cols w:space="720" w:num="1"/>
          <w:docGrid w:type="lines" w:linePitch="312" w:charSpace="0"/>
        </w:sectPr>
      </w:pPr>
      <w:r>
        <w:br w:type="page"/>
      </w:r>
      <w:bookmarkEnd w:id="65"/>
      <w:bookmarkEnd w:id="66"/>
      <w:bookmarkEnd w:id="67"/>
    </w:p>
    <w:p w14:paraId="605B8B4C">
      <w:pPr>
        <w:pStyle w:val="36"/>
        <w:ind w:firstLine="210"/>
      </w:pPr>
    </w:p>
    <w:p w14:paraId="2E6363EB">
      <w:pPr>
        <w:tabs>
          <w:tab w:val="left" w:pos="284"/>
        </w:tabs>
        <w:spacing w:line="400" w:lineRule="exact"/>
        <w:ind w:left="284"/>
        <w:rPr>
          <w:rFonts w:hint="eastAsia" w:ascii="宋体" w:hAnsi="宋体" w:eastAsia="宋体" w:cs="宋体"/>
          <w:b/>
          <w:bCs/>
          <w:kern w:val="44"/>
          <w:sz w:val="32"/>
          <w:szCs w:val="32"/>
          <w:lang w:val="en-US" w:eastAsia="zh-CN" w:bidi="ar-SA"/>
        </w:rPr>
      </w:pPr>
      <w:r>
        <w:rPr>
          <w:rFonts w:hint="eastAsia" w:ascii="黑体" w:hAnsi="Times New Roman" w:eastAsia="黑体" w:cs="黑体"/>
          <w:sz w:val="28"/>
          <w:szCs w:val="28"/>
        </w:rPr>
        <w:t>格式7</w:t>
      </w:r>
      <w:r>
        <w:rPr>
          <w:rFonts w:hint="eastAsia" w:ascii="黑体" w:hAnsi="Times New Roman" w:eastAsia="黑体" w:cs="黑体"/>
          <w:sz w:val="28"/>
          <w:szCs w:val="28"/>
          <w:lang w:val="en-US" w:eastAsia="zh-CN"/>
        </w:rPr>
        <w:t xml:space="preserve">          </w:t>
      </w:r>
      <w:r>
        <w:rPr>
          <w:rFonts w:hint="eastAsia" w:ascii="宋体" w:hAnsi="宋体" w:eastAsia="宋体" w:cs="宋体"/>
          <w:b/>
          <w:bCs/>
          <w:kern w:val="44"/>
          <w:sz w:val="32"/>
          <w:szCs w:val="32"/>
          <w:lang w:val="en-US" w:eastAsia="zh-CN" w:bidi="ar-SA"/>
        </w:rPr>
        <w:t>供应商认为需要提供的其他资料</w:t>
      </w:r>
    </w:p>
    <w:p w14:paraId="434F3546">
      <w:pPr>
        <w:rPr>
          <w:rFonts w:ascii="宋体" w:hAnsi="宋体"/>
          <w:lang w:val="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CD99">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F6D08">
                          <w:pPr>
                            <w:pStyle w:val="2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B6F6D08">
                    <w:pPr>
                      <w:pStyle w:val="22"/>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ascii="宋体" w:hAnsi="宋体"/>
      </w:rPr>
      <w:t xml:space="preserve"> </w:t>
    </w:r>
  </w:p>
  <w:p w14:paraId="60123681">
    <w:pPr>
      <w:pStyle w:val="22"/>
      <w:ind w:firstLine="4770" w:firstLineChars="2650"/>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0D02">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660BD">
                          <w:pPr>
                            <w:pStyle w:val="2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21660BD">
                    <w:pPr>
                      <w:pStyle w:val="22"/>
                    </w:pPr>
                    <w:r>
                      <w:fldChar w:fldCharType="begin"/>
                    </w:r>
                    <w:r>
                      <w:instrText xml:space="preserve"> PAGE  \* MERGEFORMAT </w:instrText>
                    </w:r>
                    <w:r>
                      <w:fldChar w:fldCharType="separate"/>
                    </w:r>
                    <w:r>
                      <w:t>0</w:t>
                    </w:r>
                    <w:r>
                      <w:fldChar w:fldCharType="end"/>
                    </w:r>
                  </w:p>
                </w:txbxContent>
              </v:textbox>
            </v:shape>
          </w:pict>
        </mc:Fallback>
      </mc:AlternateContent>
    </w:r>
  </w:p>
  <w:p w14:paraId="04B0C7A8">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73106">
    <w:pPr>
      <w:pStyle w:val="22"/>
    </w:pPr>
    <w:r>
      <w:rPr>
        <w:rFonts w:hint="eastAsia" w:ascii="宋体" w:hAnsi="宋体"/>
      </w:rPr>
      <w:t xml:space="preserve"> </w:t>
    </w:r>
  </w:p>
  <w:p w14:paraId="73845D2C">
    <w:pPr>
      <w:pStyle w:val="22"/>
      <w:ind w:firstLine="4770" w:firstLineChars="2650"/>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C0DC">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0507282"/>
                          </w:sdtPr>
                          <w:sdtContent>
                            <w:p w14:paraId="2A0FDE51">
                              <w:pPr>
                                <w:pStyle w:val="22"/>
                                <w:jc w:val="center"/>
                              </w:pPr>
                              <w:r>
                                <w:fldChar w:fldCharType="begin"/>
                              </w:r>
                              <w:r>
                                <w:instrText xml:space="preserve">PAGE   \* MERGEFORMAT</w:instrText>
                              </w:r>
                              <w:r>
                                <w:fldChar w:fldCharType="separate"/>
                              </w:r>
                              <w:r>
                                <w:rPr>
                                  <w:lang w:val="zh-CN"/>
                                </w:rPr>
                                <w:t>69</w:t>
                              </w:r>
                              <w:r>
                                <w:fldChar w:fldCharType="end"/>
                              </w:r>
                            </w:p>
                          </w:sdtContent>
                        </w:sdt>
                        <w:p w14:paraId="6CEEEDDC">
                          <w:pPr>
                            <w:pStyle w:val="36"/>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50507282"/>
                    </w:sdtPr>
                    <w:sdtContent>
                      <w:p w14:paraId="2A0FDE51">
                        <w:pPr>
                          <w:pStyle w:val="22"/>
                          <w:jc w:val="center"/>
                        </w:pPr>
                        <w:r>
                          <w:fldChar w:fldCharType="begin"/>
                        </w:r>
                        <w:r>
                          <w:instrText xml:space="preserve">PAGE   \* MERGEFORMAT</w:instrText>
                        </w:r>
                        <w:r>
                          <w:fldChar w:fldCharType="separate"/>
                        </w:r>
                        <w:r>
                          <w:rPr>
                            <w:lang w:val="zh-CN"/>
                          </w:rPr>
                          <w:t>69</w:t>
                        </w:r>
                        <w:r>
                          <w:fldChar w:fldCharType="end"/>
                        </w:r>
                      </w:p>
                    </w:sdtContent>
                  </w:sdt>
                  <w:p w14:paraId="6CEEEDDC">
                    <w:pPr>
                      <w:pStyle w:val="36"/>
                      <w:ind w:firstLine="210"/>
                    </w:pPr>
                  </w:p>
                </w:txbxContent>
              </v:textbox>
            </v:shape>
          </w:pict>
        </mc:Fallback>
      </mc:AlternateContent>
    </w:r>
  </w:p>
  <w:p w14:paraId="21155BF3">
    <w:pPr>
      <w:pStyle w:val="22"/>
      <w:pBdr>
        <w:top w:val="single" w:color="auto" w:sz="4" w:space="1"/>
      </w:pBdr>
      <w:wordWrap w:val="0"/>
      <w:jc w:val="both"/>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0DC9">
    <w:pPr>
      <w:pStyle w:val="23"/>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6CCCA">
    <w:pPr>
      <w:pStyle w:val="23"/>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DC5A">
    <w:pPr>
      <w:pStyle w:val="23"/>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53E809"/>
    <w:multiLevelType w:val="singleLevel"/>
    <w:tmpl w:val="3353E809"/>
    <w:lvl w:ilvl="0" w:tentative="0">
      <w:start w:val="1"/>
      <w:numFmt w:val="chineseCounting"/>
      <w:suff w:val="nothing"/>
      <w:lvlText w:val="%1、"/>
      <w:lvlJc w:val="left"/>
      <w:rPr>
        <w:rFonts w:hint="eastAsia"/>
      </w:rPr>
    </w:lvl>
  </w:abstractNum>
  <w:abstractNum w:abstractNumId="2">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ED9"/>
    <w:rsid w:val="00012788"/>
    <w:rsid w:val="00013CED"/>
    <w:rsid w:val="00015277"/>
    <w:rsid w:val="00016D5F"/>
    <w:rsid w:val="00021721"/>
    <w:rsid w:val="00023561"/>
    <w:rsid w:val="00027C44"/>
    <w:rsid w:val="00027EBF"/>
    <w:rsid w:val="000303E0"/>
    <w:rsid w:val="00031AE7"/>
    <w:rsid w:val="00034F96"/>
    <w:rsid w:val="00040DA5"/>
    <w:rsid w:val="00042DBD"/>
    <w:rsid w:val="00052EB4"/>
    <w:rsid w:val="00052F0E"/>
    <w:rsid w:val="00053D46"/>
    <w:rsid w:val="00055E80"/>
    <w:rsid w:val="000566CA"/>
    <w:rsid w:val="00065ED2"/>
    <w:rsid w:val="000667C2"/>
    <w:rsid w:val="00066E92"/>
    <w:rsid w:val="0007002C"/>
    <w:rsid w:val="00080BA3"/>
    <w:rsid w:val="00082EBF"/>
    <w:rsid w:val="00087508"/>
    <w:rsid w:val="000949A4"/>
    <w:rsid w:val="000A0ABB"/>
    <w:rsid w:val="000A25C9"/>
    <w:rsid w:val="000A5F20"/>
    <w:rsid w:val="000B08F4"/>
    <w:rsid w:val="000B322C"/>
    <w:rsid w:val="000B7CF1"/>
    <w:rsid w:val="000C26DA"/>
    <w:rsid w:val="000D0A92"/>
    <w:rsid w:val="000D7383"/>
    <w:rsid w:val="000E05A7"/>
    <w:rsid w:val="000E583B"/>
    <w:rsid w:val="000E7810"/>
    <w:rsid w:val="000F5B94"/>
    <w:rsid w:val="00102BF7"/>
    <w:rsid w:val="00111258"/>
    <w:rsid w:val="00117E06"/>
    <w:rsid w:val="00122F34"/>
    <w:rsid w:val="001234B8"/>
    <w:rsid w:val="00126E8C"/>
    <w:rsid w:val="001346C7"/>
    <w:rsid w:val="00141908"/>
    <w:rsid w:val="0014231F"/>
    <w:rsid w:val="00145BE4"/>
    <w:rsid w:val="00154686"/>
    <w:rsid w:val="00155FBB"/>
    <w:rsid w:val="001567AC"/>
    <w:rsid w:val="00170A02"/>
    <w:rsid w:val="00172946"/>
    <w:rsid w:val="00172A27"/>
    <w:rsid w:val="00173C16"/>
    <w:rsid w:val="00183B21"/>
    <w:rsid w:val="00190328"/>
    <w:rsid w:val="001A247A"/>
    <w:rsid w:val="001A7316"/>
    <w:rsid w:val="001B437A"/>
    <w:rsid w:val="001B6175"/>
    <w:rsid w:val="001B73D5"/>
    <w:rsid w:val="001C28FB"/>
    <w:rsid w:val="001C63C4"/>
    <w:rsid w:val="001D08AB"/>
    <w:rsid w:val="001D1A7C"/>
    <w:rsid w:val="001D40EE"/>
    <w:rsid w:val="001D4503"/>
    <w:rsid w:val="001D5685"/>
    <w:rsid w:val="001E01F4"/>
    <w:rsid w:val="001E2859"/>
    <w:rsid w:val="001E6A25"/>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1092"/>
    <w:rsid w:val="00273686"/>
    <w:rsid w:val="00275909"/>
    <w:rsid w:val="002805B0"/>
    <w:rsid w:val="00281448"/>
    <w:rsid w:val="002827C6"/>
    <w:rsid w:val="00291258"/>
    <w:rsid w:val="0029705C"/>
    <w:rsid w:val="002A00D2"/>
    <w:rsid w:val="002A76DE"/>
    <w:rsid w:val="002B1764"/>
    <w:rsid w:val="002B3282"/>
    <w:rsid w:val="002B3DDA"/>
    <w:rsid w:val="002C1C74"/>
    <w:rsid w:val="002C1CFA"/>
    <w:rsid w:val="002C4A8E"/>
    <w:rsid w:val="002C4C24"/>
    <w:rsid w:val="002C56A0"/>
    <w:rsid w:val="002C65A3"/>
    <w:rsid w:val="002C7088"/>
    <w:rsid w:val="002E32F0"/>
    <w:rsid w:val="002E3A35"/>
    <w:rsid w:val="002E41DE"/>
    <w:rsid w:val="002E69D1"/>
    <w:rsid w:val="002F1092"/>
    <w:rsid w:val="002F29FE"/>
    <w:rsid w:val="00300BF5"/>
    <w:rsid w:val="00301D9A"/>
    <w:rsid w:val="00310E56"/>
    <w:rsid w:val="0031265F"/>
    <w:rsid w:val="0031591B"/>
    <w:rsid w:val="00316E1C"/>
    <w:rsid w:val="00317EBD"/>
    <w:rsid w:val="00322822"/>
    <w:rsid w:val="003232D7"/>
    <w:rsid w:val="00327165"/>
    <w:rsid w:val="003322E0"/>
    <w:rsid w:val="00333096"/>
    <w:rsid w:val="00333C64"/>
    <w:rsid w:val="003519BA"/>
    <w:rsid w:val="00351D3A"/>
    <w:rsid w:val="00354B76"/>
    <w:rsid w:val="0036308C"/>
    <w:rsid w:val="00365ADD"/>
    <w:rsid w:val="0036658B"/>
    <w:rsid w:val="00366C3D"/>
    <w:rsid w:val="00367C39"/>
    <w:rsid w:val="0037655A"/>
    <w:rsid w:val="00376BDC"/>
    <w:rsid w:val="00391BA1"/>
    <w:rsid w:val="00393618"/>
    <w:rsid w:val="0039629B"/>
    <w:rsid w:val="00397CE6"/>
    <w:rsid w:val="003B2EC4"/>
    <w:rsid w:val="003B3E95"/>
    <w:rsid w:val="003B69B2"/>
    <w:rsid w:val="003B745E"/>
    <w:rsid w:val="003B7D41"/>
    <w:rsid w:val="003B7F0B"/>
    <w:rsid w:val="003C28D3"/>
    <w:rsid w:val="003C7190"/>
    <w:rsid w:val="003D4C19"/>
    <w:rsid w:val="003E355B"/>
    <w:rsid w:val="003E5C5F"/>
    <w:rsid w:val="003E6760"/>
    <w:rsid w:val="003F0321"/>
    <w:rsid w:val="003F16BE"/>
    <w:rsid w:val="003F4EBE"/>
    <w:rsid w:val="003F5FB2"/>
    <w:rsid w:val="003F67E2"/>
    <w:rsid w:val="00401571"/>
    <w:rsid w:val="00402447"/>
    <w:rsid w:val="00404F25"/>
    <w:rsid w:val="00407584"/>
    <w:rsid w:val="00407989"/>
    <w:rsid w:val="00407C16"/>
    <w:rsid w:val="004128AB"/>
    <w:rsid w:val="004151E0"/>
    <w:rsid w:val="004206AF"/>
    <w:rsid w:val="00423DAD"/>
    <w:rsid w:val="0043308C"/>
    <w:rsid w:val="0043320B"/>
    <w:rsid w:val="00441D37"/>
    <w:rsid w:val="0044389D"/>
    <w:rsid w:val="00446282"/>
    <w:rsid w:val="00446823"/>
    <w:rsid w:val="004471F9"/>
    <w:rsid w:val="004477D0"/>
    <w:rsid w:val="0045089F"/>
    <w:rsid w:val="00452519"/>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2B44"/>
    <w:rsid w:val="00492E55"/>
    <w:rsid w:val="0049420F"/>
    <w:rsid w:val="00496174"/>
    <w:rsid w:val="00496C57"/>
    <w:rsid w:val="004A1FF8"/>
    <w:rsid w:val="004A60EC"/>
    <w:rsid w:val="004A7924"/>
    <w:rsid w:val="004B4D97"/>
    <w:rsid w:val="004C2828"/>
    <w:rsid w:val="004D109C"/>
    <w:rsid w:val="004D6853"/>
    <w:rsid w:val="004E38D3"/>
    <w:rsid w:val="004E53B0"/>
    <w:rsid w:val="004E740B"/>
    <w:rsid w:val="004F7E85"/>
    <w:rsid w:val="005018AA"/>
    <w:rsid w:val="005023C4"/>
    <w:rsid w:val="00503ABD"/>
    <w:rsid w:val="00505AB4"/>
    <w:rsid w:val="00505B13"/>
    <w:rsid w:val="0050644E"/>
    <w:rsid w:val="00510803"/>
    <w:rsid w:val="00511D52"/>
    <w:rsid w:val="0051437F"/>
    <w:rsid w:val="00514F55"/>
    <w:rsid w:val="005311C9"/>
    <w:rsid w:val="00532098"/>
    <w:rsid w:val="00536FE0"/>
    <w:rsid w:val="0053757A"/>
    <w:rsid w:val="0053779B"/>
    <w:rsid w:val="00541C51"/>
    <w:rsid w:val="00541CEE"/>
    <w:rsid w:val="00545AB7"/>
    <w:rsid w:val="00574E4E"/>
    <w:rsid w:val="005873FC"/>
    <w:rsid w:val="00587573"/>
    <w:rsid w:val="00591E8B"/>
    <w:rsid w:val="00594CC8"/>
    <w:rsid w:val="00595E0B"/>
    <w:rsid w:val="00596D5C"/>
    <w:rsid w:val="005A334A"/>
    <w:rsid w:val="005A4AD2"/>
    <w:rsid w:val="005A5139"/>
    <w:rsid w:val="005A6DCB"/>
    <w:rsid w:val="005B21D4"/>
    <w:rsid w:val="005B4C59"/>
    <w:rsid w:val="005B6058"/>
    <w:rsid w:val="005B6C65"/>
    <w:rsid w:val="005B74E4"/>
    <w:rsid w:val="005C0485"/>
    <w:rsid w:val="005C6261"/>
    <w:rsid w:val="005D13F3"/>
    <w:rsid w:val="005D316C"/>
    <w:rsid w:val="005D4857"/>
    <w:rsid w:val="005E40CB"/>
    <w:rsid w:val="005E7DFD"/>
    <w:rsid w:val="005F03D1"/>
    <w:rsid w:val="005F0F65"/>
    <w:rsid w:val="006006E0"/>
    <w:rsid w:val="00600F13"/>
    <w:rsid w:val="006013FA"/>
    <w:rsid w:val="00603045"/>
    <w:rsid w:val="006232E9"/>
    <w:rsid w:val="00624513"/>
    <w:rsid w:val="0063127C"/>
    <w:rsid w:val="006370B9"/>
    <w:rsid w:val="00640396"/>
    <w:rsid w:val="0064312C"/>
    <w:rsid w:val="00645BF7"/>
    <w:rsid w:val="00647BC9"/>
    <w:rsid w:val="006520E9"/>
    <w:rsid w:val="0065416A"/>
    <w:rsid w:val="00661532"/>
    <w:rsid w:val="00662387"/>
    <w:rsid w:val="00666122"/>
    <w:rsid w:val="00676822"/>
    <w:rsid w:val="0068211F"/>
    <w:rsid w:val="00687599"/>
    <w:rsid w:val="00687A31"/>
    <w:rsid w:val="00696288"/>
    <w:rsid w:val="00696887"/>
    <w:rsid w:val="006A0B8E"/>
    <w:rsid w:val="006A657E"/>
    <w:rsid w:val="006B2A7B"/>
    <w:rsid w:val="006C1A07"/>
    <w:rsid w:val="006C5762"/>
    <w:rsid w:val="006D3F7D"/>
    <w:rsid w:val="006E23D8"/>
    <w:rsid w:val="006E5976"/>
    <w:rsid w:val="006F689F"/>
    <w:rsid w:val="00704B4F"/>
    <w:rsid w:val="007052F2"/>
    <w:rsid w:val="0071025B"/>
    <w:rsid w:val="007148C7"/>
    <w:rsid w:val="007153CE"/>
    <w:rsid w:val="00720D0F"/>
    <w:rsid w:val="00722F89"/>
    <w:rsid w:val="007243ED"/>
    <w:rsid w:val="00731077"/>
    <w:rsid w:val="00736F42"/>
    <w:rsid w:val="00741137"/>
    <w:rsid w:val="00743D0C"/>
    <w:rsid w:val="00747CF6"/>
    <w:rsid w:val="00756DA2"/>
    <w:rsid w:val="00766B76"/>
    <w:rsid w:val="00773D87"/>
    <w:rsid w:val="0077574D"/>
    <w:rsid w:val="00776906"/>
    <w:rsid w:val="00783BDC"/>
    <w:rsid w:val="00792C14"/>
    <w:rsid w:val="00797455"/>
    <w:rsid w:val="007B093B"/>
    <w:rsid w:val="007B175C"/>
    <w:rsid w:val="007C0ABD"/>
    <w:rsid w:val="007C59FE"/>
    <w:rsid w:val="007D2A48"/>
    <w:rsid w:val="007E0813"/>
    <w:rsid w:val="007E60B9"/>
    <w:rsid w:val="007E6C59"/>
    <w:rsid w:val="007E7F16"/>
    <w:rsid w:val="007F1450"/>
    <w:rsid w:val="007F1F7A"/>
    <w:rsid w:val="007F6177"/>
    <w:rsid w:val="00800EE4"/>
    <w:rsid w:val="0080293B"/>
    <w:rsid w:val="00803437"/>
    <w:rsid w:val="00804729"/>
    <w:rsid w:val="008056C8"/>
    <w:rsid w:val="00811AF9"/>
    <w:rsid w:val="00814509"/>
    <w:rsid w:val="0082205C"/>
    <w:rsid w:val="00826A92"/>
    <w:rsid w:val="00832402"/>
    <w:rsid w:val="00833CED"/>
    <w:rsid w:val="008461BC"/>
    <w:rsid w:val="00850124"/>
    <w:rsid w:val="00855D75"/>
    <w:rsid w:val="00862522"/>
    <w:rsid w:val="00881E67"/>
    <w:rsid w:val="00885F0F"/>
    <w:rsid w:val="008869FA"/>
    <w:rsid w:val="008A1809"/>
    <w:rsid w:val="008A1BA8"/>
    <w:rsid w:val="008A412A"/>
    <w:rsid w:val="008B068B"/>
    <w:rsid w:val="008B2769"/>
    <w:rsid w:val="008B338D"/>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1DA6"/>
    <w:rsid w:val="00952548"/>
    <w:rsid w:val="0095363C"/>
    <w:rsid w:val="00964379"/>
    <w:rsid w:val="00966637"/>
    <w:rsid w:val="00966E29"/>
    <w:rsid w:val="00967B57"/>
    <w:rsid w:val="00985E50"/>
    <w:rsid w:val="00993449"/>
    <w:rsid w:val="00993C7F"/>
    <w:rsid w:val="0099532B"/>
    <w:rsid w:val="009A32A3"/>
    <w:rsid w:val="009A4823"/>
    <w:rsid w:val="009B3CB6"/>
    <w:rsid w:val="009B61CA"/>
    <w:rsid w:val="009B765F"/>
    <w:rsid w:val="009B76A8"/>
    <w:rsid w:val="009C5E03"/>
    <w:rsid w:val="009D46D2"/>
    <w:rsid w:val="009D52F5"/>
    <w:rsid w:val="009E24EA"/>
    <w:rsid w:val="009E2D9E"/>
    <w:rsid w:val="009E526A"/>
    <w:rsid w:val="009F0C14"/>
    <w:rsid w:val="009F11F6"/>
    <w:rsid w:val="009F7D9A"/>
    <w:rsid w:val="00A04C92"/>
    <w:rsid w:val="00A055F7"/>
    <w:rsid w:val="00A27FF7"/>
    <w:rsid w:val="00A34292"/>
    <w:rsid w:val="00A40185"/>
    <w:rsid w:val="00A55819"/>
    <w:rsid w:val="00A56C65"/>
    <w:rsid w:val="00A56E5C"/>
    <w:rsid w:val="00A64CF2"/>
    <w:rsid w:val="00A64FEB"/>
    <w:rsid w:val="00A65CC4"/>
    <w:rsid w:val="00A664D8"/>
    <w:rsid w:val="00A66739"/>
    <w:rsid w:val="00A74E2D"/>
    <w:rsid w:val="00A768E1"/>
    <w:rsid w:val="00A82547"/>
    <w:rsid w:val="00A9258A"/>
    <w:rsid w:val="00A92D4A"/>
    <w:rsid w:val="00A930D3"/>
    <w:rsid w:val="00A93AB2"/>
    <w:rsid w:val="00A965AD"/>
    <w:rsid w:val="00AA0581"/>
    <w:rsid w:val="00AA4A5D"/>
    <w:rsid w:val="00AB31EE"/>
    <w:rsid w:val="00AC11BA"/>
    <w:rsid w:val="00AC3BB3"/>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16842"/>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B74BB"/>
    <w:rsid w:val="00BC03FD"/>
    <w:rsid w:val="00BC326B"/>
    <w:rsid w:val="00BD12B8"/>
    <w:rsid w:val="00BD25A7"/>
    <w:rsid w:val="00BE1A15"/>
    <w:rsid w:val="00BE345E"/>
    <w:rsid w:val="00BE7824"/>
    <w:rsid w:val="00BF4A2E"/>
    <w:rsid w:val="00C01CFB"/>
    <w:rsid w:val="00C072A4"/>
    <w:rsid w:val="00C13891"/>
    <w:rsid w:val="00C14875"/>
    <w:rsid w:val="00C15CF5"/>
    <w:rsid w:val="00C21C4E"/>
    <w:rsid w:val="00C22A71"/>
    <w:rsid w:val="00C231F4"/>
    <w:rsid w:val="00C246FA"/>
    <w:rsid w:val="00C25253"/>
    <w:rsid w:val="00C2794B"/>
    <w:rsid w:val="00C3222F"/>
    <w:rsid w:val="00C33A3B"/>
    <w:rsid w:val="00C35C83"/>
    <w:rsid w:val="00C37A47"/>
    <w:rsid w:val="00C4110B"/>
    <w:rsid w:val="00C45E47"/>
    <w:rsid w:val="00C67D3E"/>
    <w:rsid w:val="00C71BF3"/>
    <w:rsid w:val="00C7634F"/>
    <w:rsid w:val="00C83562"/>
    <w:rsid w:val="00C85351"/>
    <w:rsid w:val="00C8723E"/>
    <w:rsid w:val="00C9205E"/>
    <w:rsid w:val="00C94E7B"/>
    <w:rsid w:val="00CA07CA"/>
    <w:rsid w:val="00CB4083"/>
    <w:rsid w:val="00CB4783"/>
    <w:rsid w:val="00CC749A"/>
    <w:rsid w:val="00CD248B"/>
    <w:rsid w:val="00CD6793"/>
    <w:rsid w:val="00CE06E3"/>
    <w:rsid w:val="00CE3B63"/>
    <w:rsid w:val="00CE4606"/>
    <w:rsid w:val="00CE491E"/>
    <w:rsid w:val="00D03E1F"/>
    <w:rsid w:val="00D07598"/>
    <w:rsid w:val="00D25820"/>
    <w:rsid w:val="00D25D69"/>
    <w:rsid w:val="00D26050"/>
    <w:rsid w:val="00D30579"/>
    <w:rsid w:val="00D35F7A"/>
    <w:rsid w:val="00D43D77"/>
    <w:rsid w:val="00D46EA9"/>
    <w:rsid w:val="00D51E27"/>
    <w:rsid w:val="00D53228"/>
    <w:rsid w:val="00D53EC9"/>
    <w:rsid w:val="00D5490F"/>
    <w:rsid w:val="00D55479"/>
    <w:rsid w:val="00D6106B"/>
    <w:rsid w:val="00D61D83"/>
    <w:rsid w:val="00D635A1"/>
    <w:rsid w:val="00D76F6D"/>
    <w:rsid w:val="00D8257B"/>
    <w:rsid w:val="00D85F70"/>
    <w:rsid w:val="00D8694E"/>
    <w:rsid w:val="00D87C28"/>
    <w:rsid w:val="00D90A80"/>
    <w:rsid w:val="00D90AA8"/>
    <w:rsid w:val="00D916BA"/>
    <w:rsid w:val="00DA1BE1"/>
    <w:rsid w:val="00DA41B5"/>
    <w:rsid w:val="00DA4BBF"/>
    <w:rsid w:val="00DA6499"/>
    <w:rsid w:val="00DB3554"/>
    <w:rsid w:val="00DB3623"/>
    <w:rsid w:val="00DB6E33"/>
    <w:rsid w:val="00DC490D"/>
    <w:rsid w:val="00DC654D"/>
    <w:rsid w:val="00DC75AB"/>
    <w:rsid w:val="00DD208D"/>
    <w:rsid w:val="00DD2DE5"/>
    <w:rsid w:val="00DE1471"/>
    <w:rsid w:val="00DE2973"/>
    <w:rsid w:val="00DE3CBD"/>
    <w:rsid w:val="00DE41DC"/>
    <w:rsid w:val="00DF3802"/>
    <w:rsid w:val="00DF61EB"/>
    <w:rsid w:val="00E03366"/>
    <w:rsid w:val="00E1118A"/>
    <w:rsid w:val="00E14369"/>
    <w:rsid w:val="00E144FA"/>
    <w:rsid w:val="00E17109"/>
    <w:rsid w:val="00E21CC7"/>
    <w:rsid w:val="00E23042"/>
    <w:rsid w:val="00E24477"/>
    <w:rsid w:val="00E25956"/>
    <w:rsid w:val="00E27495"/>
    <w:rsid w:val="00E31E0C"/>
    <w:rsid w:val="00E338BC"/>
    <w:rsid w:val="00E361C3"/>
    <w:rsid w:val="00E431A9"/>
    <w:rsid w:val="00E530EF"/>
    <w:rsid w:val="00E56571"/>
    <w:rsid w:val="00E60BD4"/>
    <w:rsid w:val="00E62517"/>
    <w:rsid w:val="00E62909"/>
    <w:rsid w:val="00E6376D"/>
    <w:rsid w:val="00E6414C"/>
    <w:rsid w:val="00E65E37"/>
    <w:rsid w:val="00E661A8"/>
    <w:rsid w:val="00E677AD"/>
    <w:rsid w:val="00E70FCD"/>
    <w:rsid w:val="00E757E4"/>
    <w:rsid w:val="00E82002"/>
    <w:rsid w:val="00E822F3"/>
    <w:rsid w:val="00E85982"/>
    <w:rsid w:val="00E85FF4"/>
    <w:rsid w:val="00E8760D"/>
    <w:rsid w:val="00E93764"/>
    <w:rsid w:val="00E9647A"/>
    <w:rsid w:val="00EA2B99"/>
    <w:rsid w:val="00EA305C"/>
    <w:rsid w:val="00EA4A6D"/>
    <w:rsid w:val="00EB376B"/>
    <w:rsid w:val="00EB4D47"/>
    <w:rsid w:val="00EB7009"/>
    <w:rsid w:val="00EC01F3"/>
    <w:rsid w:val="00EC443E"/>
    <w:rsid w:val="00EC4D89"/>
    <w:rsid w:val="00EC650B"/>
    <w:rsid w:val="00EC73A9"/>
    <w:rsid w:val="00EC73E7"/>
    <w:rsid w:val="00EC778D"/>
    <w:rsid w:val="00ED28A2"/>
    <w:rsid w:val="00ED73FD"/>
    <w:rsid w:val="00EE6D31"/>
    <w:rsid w:val="00EE7AA7"/>
    <w:rsid w:val="00EF151B"/>
    <w:rsid w:val="00EF4C17"/>
    <w:rsid w:val="00EF5956"/>
    <w:rsid w:val="00EF5B92"/>
    <w:rsid w:val="00EF6532"/>
    <w:rsid w:val="00F020EA"/>
    <w:rsid w:val="00F1038E"/>
    <w:rsid w:val="00F10C7F"/>
    <w:rsid w:val="00F12E05"/>
    <w:rsid w:val="00F16FF3"/>
    <w:rsid w:val="00F32D6E"/>
    <w:rsid w:val="00F378D6"/>
    <w:rsid w:val="00F50D6D"/>
    <w:rsid w:val="00F529B5"/>
    <w:rsid w:val="00F63CEE"/>
    <w:rsid w:val="00F67F5E"/>
    <w:rsid w:val="00F729EC"/>
    <w:rsid w:val="00F80945"/>
    <w:rsid w:val="00FA002A"/>
    <w:rsid w:val="00FA0E23"/>
    <w:rsid w:val="00FA42AA"/>
    <w:rsid w:val="00FA5DD2"/>
    <w:rsid w:val="00FA7595"/>
    <w:rsid w:val="00FA7E29"/>
    <w:rsid w:val="00FB757C"/>
    <w:rsid w:val="00FC1196"/>
    <w:rsid w:val="00FC2B01"/>
    <w:rsid w:val="00FC7142"/>
    <w:rsid w:val="00FD123D"/>
    <w:rsid w:val="00FD15F8"/>
    <w:rsid w:val="00FD1788"/>
    <w:rsid w:val="00FD3349"/>
    <w:rsid w:val="00FD4350"/>
    <w:rsid w:val="00FD555B"/>
    <w:rsid w:val="00FE28D5"/>
    <w:rsid w:val="00FE33B7"/>
    <w:rsid w:val="00FE343D"/>
    <w:rsid w:val="00FE5A3F"/>
    <w:rsid w:val="00FF4A2C"/>
    <w:rsid w:val="010C0545"/>
    <w:rsid w:val="01431AAC"/>
    <w:rsid w:val="01CB4613"/>
    <w:rsid w:val="01D6735B"/>
    <w:rsid w:val="01EE009D"/>
    <w:rsid w:val="02212C59"/>
    <w:rsid w:val="02234D68"/>
    <w:rsid w:val="02611EFB"/>
    <w:rsid w:val="03362153"/>
    <w:rsid w:val="033D23C8"/>
    <w:rsid w:val="035C7C9F"/>
    <w:rsid w:val="038421FF"/>
    <w:rsid w:val="03AC3D5F"/>
    <w:rsid w:val="04A52F3F"/>
    <w:rsid w:val="04DB5BA0"/>
    <w:rsid w:val="050339C8"/>
    <w:rsid w:val="056B78E4"/>
    <w:rsid w:val="05A202D8"/>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B663399"/>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AE4915"/>
    <w:rsid w:val="0EC55891"/>
    <w:rsid w:val="0ECD0956"/>
    <w:rsid w:val="0F0A1C47"/>
    <w:rsid w:val="0F8938E3"/>
    <w:rsid w:val="0FC26B09"/>
    <w:rsid w:val="0FE37051"/>
    <w:rsid w:val="0FE55E1D"/>
    <w:rsid w:val="10234BB8"/>
    <w:rsid w:val="106E28ED"/>
    <w:rsid w:val="11072B0F"/>
    <w:rsid w:val="11352C2D"/>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443E65"/>
    <w:rsid w:val="17610FFB"/>
    <w:rsid w:val="177212C8"/>
    <w:rsid w:val="1774600D"/>
    <w:rsid w:val="17B65676"/>
    <w:rsid w:val="17E625C2"/>
    <w:rsid w:val="181804D5"/>
    <w:rsid w:val="181956B5"/>
    <w:rsid w:val="183262BB"/>
    <w:rsid w:val="18C92E3C"/>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DB15CCA"/>
    <w:rsid w:val="1E18389A"/>
    <w:rsid w:val="1EF37B1C"/>
    <w:rsid w:val="1F3357C3"/>
    <w:rsid w:val="1FA878A4"/>
    <w:rsid w:val="1FB65CE5"/>
    <w:rsid w:val="1FFB1CD2"/>
    <w:rsid w:val="20102115"/>
    <w:rsid w:val="20723DF8"/>
    <w:rsid w:val="20873865"/>
    <w:rsid w:val="20B2078A"/>
    <w:rsid w:val="20CF0408"/>
    <w:rsid w:val="20DD2F6A"/>
    <w:rsid w:val="213D5D4F"/>
    <w:rsid w:val="214D321F"/>
    <w:rsid w:val="21526090"/>
    <w:rsid w:val="21831257"/>
    <w:rsid w:val="21862A8E"/>
    <w:rsid w:val="21B66174"/>
    <w:rsid w:val="21D2510C"/>
    <w:rsid w:val="22057FAB"/>
    <w:rsid w:val="220B46C7"/>
    <w:rsid w:val="22584650"/>
    <w:rsid w:val="22E16D2C"/>
    <w:rsid w:val="22F74597"/>
    <w:rsid w:val="23513516"/>
    <w:rsid w:val="235C0D8C"/>
    <w:rsid w:val="24005DFF"/>
    <w:rsid w:val="24740B21"/>
    <w:rsid w:val="24A66CC3"/>
    <w:rsid w:val="24B07509"/>
    <w:rsid w:val="25141B44"/>
    <w:rsid w:val="25174C47"/>
    <w:rsid w:val="25251CDD"/>
    <w:rsid w:val="256A0B48"/>
    <w:rsid w:val="25A0434E"/>
    <w:rsid w:val="25B8212F"/>
    <w:rsid w:val="25C171E6"/>
    <w:rsid w:val="25C379D2"/>
    <w:rsid w:val="26244987"/>
    <w:rsid w:val="26A266B6"/>
    <w:rsid w:val="26DC3A8D"/>
    <w:rsid w:val="27A76D16"/>
    <w:rsid w:val="27EC1F9F"/>
    <w:rsid w:val="283F20D0"/>
    <w:rsid w:val="28B46DE9"/>
    <w:rsid w:val="28B939EF"/>
    <w:rsid w:val="28CF3E48"/>
    <w:rsid w:val="28F84B43"/>
    <w:rsid w:val="29063DF1"/>
    <w:rsid w:val="291D7302"/>
    <w:rsid w:val="29231E73"/>
    <w:rsid w:val="292D106A"/>
    <w:rsid w:val="29410AEC"/>
    <w:rsid w:val="29927A4E"/>
    <w:rsid w:val="29F81C85"/>
    <w:rsid w:val="2A61579E"/>
    <w:rsid w:val="2A902AAB"/>
    <w:rsid w:val="2A994270"/>
    <w:rsid w:val="2B065E73"/>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F6F0866"/>
    <w:rsid w:val="30444961"/>
    <w:rsid w:val="30976FBB"/>
    <w:rsid w:val="30B27859"/>
    <w:rsid w:val="31266B62"/>
    <w:rsid w:val="314B252D"/>
    <w:rsid w:val="31522662"/>
    <w:rsid w:val="31583F91"/>
    <w:rsid w:val="31C077E7"/>
    <w:rsid w:val="31D11801"/>
    <w:rsid w:val="328123C3"/>
    <w:rsid w:val="32B81AB0"/>
    <w:rsid w:val="32F61005"/>
    <w:rsid w:val="33064658"/>
    <w:rsid w:val="33275A6F"/>
    <w:rsid w:val="335B60C2"/>
    <w:rsid w:val="33630233"/>
    <w:rsid w:val="33E26171"/>
    <w:rsid w:val="33E85C36"/>
    <w:rsid w:val="343F0D4B"/>
    <w:rsid w:val="34583C3A"/>
    <w:rsid w:val="34A3564B"/>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880301"/>
    <w:rsid w:val="3DC34C62"/>
    <w:rsid w:val="3E676953"/>
    <w:rsid w:val="3E893233"/>
    <w:rsid w:val="3E951975"/>
    <w:rsid w:val="3EB45F5C"/>
    <w:rsid w:val="3EC26D84"/>
    <w:rsid w:val="3ED674CA"/>
    <w:rsid w:val="3EE81F94"/>
    <w:rsid w:val="3EE95CD4"/>
    <w:rsid w:val="3F07744D"/>
    <w:rsid w:val="3F24672E"/>
    <w:rsid w:val="3F2F3266"/>
    <w:rsid w:val="3F3C5B71"/>
    <w:rsid w:val="3F577277"/>
    <w:rsid w:val="3FA123B8"/>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3C90525"/>
    <w:rsid w:val="44831052"/>
    <w:rsid w:val="44A21D28"/>
    <w:rsid w:val="44E828B4"/>
    <w:rsid w:val="451002B5"/>
    <w:rsid w:val="456A0612"/>
    <w:rsid w:val="458D6777"/>
    <w:rsid w:val="4590612D"/>
    <w:rsid w:val="45974811"/>
    <w:rsid w:val="46022BE9"/>
    <w:rsid w:val="460479EC"/>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94467E"/>
    <w:rsid w:val="4BAC6D9C"/>
    <w:rsid w:val="4BBC374F"/>
    <w:rsid w:val="4BD50393"/>
    <w:rsid w:val="4C371F41"/>
    <w:rsid w:val="4CF124C7"/>
    <w:rsid w:val="4D1C29A0"/>
    <w:rsid w:val="4D222443"/>
    <w:rsid w:val="4D5544F7"/>
    <w:rsid w:val="4D6A2510"/>
    <w:rsid w:val="4D8D15C2"/>
    <w:rsid w:val="4DC23C9A"/>
    <w:rsid w:val="4E15316A"/>
    <w:rsid w:val="4E46794C"/>
    <w:rsid w:val="4E5C712A"/>
    <w:rsid w:val="4E5E1569"/>
    <w:rsid w:val="4E821BAA"/>
    <w:rsid w:val="4E866187"/>
    <w:rsid w:val="4EA25710"/>
    <w:rsid w:val="4EB000D3"/>
    <w:rsid w:val="4ED432D3"/>
    <w:rsid w:val="4EEA7913"/>
    <w:rsid w:val="4F105D44"/>
    <w:rsid w:val="4F6E5524"/>
    <w:rsid w:val="4FB40A0A"/>
    <w:rsid w:val="4FE53344"/>
    <w:rsid w:val="4FE96D90"/>
    <w:rsid w:val="4FEA236B"/>
    <w:rsid w:val="50147B70"/>
    <w:rsid w:val="501A11B7"/>
    <w:rsid w:val="502F0E22"/>
    <w:rsid w:val="503D4610"/>
    <w:rsid w:val="5070592D"/>
    <w:rsid w:val="507A030E"/>
    <w:rsid w:val="508D5F0B"/>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C5627B"/>
    <w:rsid w:val="58DD2F95"/>
    <w:rsid w:val="58E10BDE"/>
    <w:rsid w:val="59365FBF"/>
    <w:rsid w:val="59653465"/>
    <w:rsid w:val="59785C59"/>
    <w:rsid w:val="59795DFA"/>
    <w:rsid w:val="599754A7"/>
    <w:rsid w:val="59AC3759"/>
    <w:rsid w:val="5A1836EB"/>
    <w:rsid w:val="5A824155"/>
    <w:rsid w:val="5A955476"/>
    <w:rsid w:val="5AD20352"/>
    <w:rsid w:val="5AE970FE"/>
    <w:rsid w:val="5B191377"/>
    <w:rsid w:val="5B195DCB"/>
    <w:rsid w:val="5B5A5710"/>
    <w:rsid w:val="5B5F2066"/>
    <w:rsid w:val="5B6D54D2"/>
    <w:rsid w:val="5BC85E20"/>
    <w:rsid w:val="5CD04203"/>
    <w:rsid w:val="5D4D4876"/>
    <w:rsid w:val="5DB7364F"/>
    <w:rsid w:val="5DE01011"/>
    <w:rsid w:val="5E263E4C"/>
    <w:rsid w:val="5E2A7B88"/>
    <w:rsid w:val="5EAD0647"/>
    <w:rsid w:val="5EF21D08"/>
    <w:rsid w:val="5EFC55C2"/>
    <w:rsid w:val="5F072DF9"/>
    <w:rsid w:val="5F216531"/>
    <w:rsid w:val="5F3C6B9D"/>
    <w:rsid w:val="5F894125"/>
    <w:rsid w:val="5F977E59"/>
    <w:rsid w:val="603F6015"/>
    <w:rsid w:val="60672361"/>
    <w:rsid w:val="60911F51"/>
    <w:rsid w:val="60971F86"/>
    <w:rsid w:val="611E6F2B"/>
    <w:rsid w:val="613E5BFE"/>
    <w:rsid w:val="621B2348"/>
    <w:rsid w:val="622A2E5C"/>
    <w:rsid w:val="62607B57"/>
    <w:rsid w:val="62951C1B"/>
    <w:rsid w:val="630854AB"/>
    <w:rsid w:val="63484E23"/>
    <w:rsid w:val="635031CD"/>
    <w:rsid w:val="639F074B"/>
    <w:rsid w:val="63A21FFE"/>
    <w:rsid w:val="63A97F35"/>
    <w:rsid w:val="63AB1A91"/>
    <w:rsid w:val="64324C0C"/>
    <w:rsid w:val="643D3240"/>
    <w:rsid w:val="6458289B"/>
    <w:rsid w:val="64A5552C"/>
    <w:rsid w:val="64C47B18"/>
    <w:rsid w:val="65A119E7"/>
    <w:rsid w:val="65C126FF"/>
    <w:rsid w:val="65F93D81"/>
    <w:rsid w:val="66317CF6"/>
    <w:rsid w:val="663C410E"/>
    <w:rsid w:val="66580B17"/>
    <w:rsid w:val="669D13B7"/>
    <w:rsid w:val="66AD54BA"/>
    <w:rsid w:val="66B546F0"/>
    <w:rsid w:val="66B83C92"/>
    <w:rsid w:val="66DE070A"/>
    <w:rsid w:val="6703549C"/>
    <w:rsid w:val="673A2A49"/>
    <w:rsid w:val="674F314A"/>
    <w:rsid w:val="675A6D1E"/>
    <w:rsid w:val="676D2E91"/>
    <w:rsid w:val="67F03179"/>
    <w:rsid w:val="68105B0A"/>
    <w:rsid w:val="68275EC8"/>
    <w:rsid w:val="684D2237"/>
    <w:rsid w:val="68760BC9"/>
    <w:rsid w:val="689C6CD7"/>
    <w:rsid w:val="68AD1290"/>
    <w:rsid w:val="68C24091"/>
    <w:rsid w:val="68DF53F1"/>
    <w:rsid w:val="692E1B1A"/>
    <w:rsid w:val="695F493B"/>
    <w:rsid w:val="696F6BE4"/>
    <w:rsid w:val="698039BA"/>
    <w:rsid w:val="69D65C5D"/>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43838"/>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1F933E2"/>
    <w:rsid w:val="727A2C7C"/>
    <w:rsid w:val="72993414"/>
    <w:rsid w:val="72A7694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7D00AE"/>
    <w:rsid w:val="769E0D19"/>
    <w:rsid w:val="76EA76C2"/>
    <w:rsid w:val="76F507BA"/>
    <w:rsid w:val="772546B8"/>
    <w:rsid w:val="774A78C1"/>
    <w:rsid w:val="78533997"/>
    <w:rsid w:val="78D056D3"/>
    <w:rsid w:val="78F20AC6"/>
    <w:rsid w:val="794E7D2A"/>
    <w:rsid w:val="79747571"/>
    <w:rsid w:val="799A0EF5"/>
    <w:rsid w:val="79FA7066"/>
    <w:rsid w:val="7A0D12B9"/>
    <w:rsid w:val="7A11454C"/>
    <w:rsid w:val="7A2D6D03"/>
    <w:rsid w:val="7A9279A1"/>
    <w:rsid w:val="7AE73146"/>
    <w:rsid w:val="7B276F1B"/>
    <w:rsid w:val="7B5E310D"/>
    <w:rsid w:val="7B663C59"/>
    <w:rsid w:val="7B683207"/>
    <w:rsid w:val="7B6A6379"/>
    <w:rsid w:val="7BBB03E0"/>
    <w:rsid w:val="7BDC5744"/>
    <w:rsid w:val="7C2876C8"/>
    <w:rsid w:val="7C514EBA"/>
    <w:rsid w:val="7CAD2803"/>
    <w:rsid w:val="7CAE64BE"/>
    <w:rsid w:val="7CB54CD9"/>
    <w:rsid w:val="7D4816AF"/>
    <w:rsid w:val="7D661672"/>
    <w:rsid w:val="7DA5658D"/>
    <w:rsid w:val="7DE90634"/>
    <w:rsid w:val="7E170D1B"/>
    <w:rsid w:val="7E26327E"/>
    <w:rsid w:val="7E41159D"/>
    <w:rsid w:val="7E443971"/>
    <w:rsid w:val="7E6F31CB"/>
    <w:rsid w:val="7E773529"/>
    <w:rsid w:val="7EBD792C"/>
    <w:rsid w:val="7F16330A"/>
    <w:rsid w:val="7F590EFE"/>
    <w:rsid w:val="7FBE2D05"/>
    <w:rsid w:val="7FCA53D3"/>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49"/>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5">
    <w:name w:val="heading 2"/>
    <w:basedOn w:val="1"/>
    <w:next w:val="1"/>
    <w:link w:val="50"/>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link w:val="51"/>
    <w:qFormat/>
    <w:uiPriority w:val="99"/>
    <w:pPr>
      <w:keepNext/>
      <w:keepLines/>
      <w:spacing w:before="260" w:after="260" w:line="416" w:lineRule="auto"/>
      <w:jc w:val="center"/>
      <w:outlineLvl w:val="2"/>
    </w:pPr>
    <w:rPr>
      <w:b/>
      <w:bCs/>
      <w:sz w:val="28"/>
      <w:szCs w:val="28"/>
    </w:rPr>
  </w:style>
  <w:style w:type="paragraph" w:styleId="7">
    <w:name w:val="heading 4"/>
    <w:basedOn w:val="1"/>
    <w:next w:val="1"/>
    <w:link w:val="52"/>
    <w:qFormat/>
    <w:uiPriority w:val="99"/>
    <w:pPr>
      <w:keepNext/>
      <w:keepLines/>
      <w:spacing w:before="280" w:after="290" w:line="376" w:lineRule="auto"/>
      <w:outlineLvl w:val="3"/>
    </w:pPr>
    <w:rPr>
      <w:rFonts w:ascii="Arial" w:hAnsi="Arial" w:eastAsia="黑体" w:cs="Arial"/>
      <w:b/>
      <w:bCs/>
      <w:sz w:val="28"/>
      <w:szCs w:val="28"/>
    </w:rPr>
  </w:style>
  <w:style w:type="paragraph" w:styleId="8">
    <w:name w:val="heading 6"/>
    <w:basedOn w:val="1"/>
    <w:next w:val="1"/>
    <w:link w:val="53"/>
    <w:qFormat/>
    <w:uiPriority w:val="99"/>
    <w:pPr>
      <w:keepNext/>
      <w:keepLines/>
      <w:spacing w:before="240" w:after="64" w:line="317" w:lineRule="auto"/>
      <w:outlineLvl w:val="5"/>
    </w:pPr>
    <w:rPr>
      <w:rFonts w:ascii="Cambria" w:hAnsi="Cambria" w:cs="Cambria"/>
      <w:b/>
      <w:bCs/>
      <w:sz w:val="24"/>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99"/>
    <w:pPr>
      <w:spacing w:before="25" w:after="25"/>
      <w:jc w:val="left"/>
    </w:pPr>
    <w:rPr>
      <w:spacing w:val="10"/>
      <w:kern w:val="0"/>
      <w:sz w:val="24"/>
      <w:szCs w:val="24"/>
    </w:rPr>
  </w:style>
  <w:style w:type="paragraph" w:styleId="3">
    <w:name w:val="Body Text"/>
    <w:basedOn w:val="1"/>
    <w:next w:val="1"/>
    <w:link w:val="59"/>
    <w:qFormat/>
    <w:uiPriority w:val="99"/>
    <w:pPr>
      <w:spacing w:after="120"/>
    </w:pPr>
    <w:rPr>
      <w:rFonts w:ascii="Times New Roman" w:hAnsi="Times New Roman" w:cs="Times New Roman"/>
    </w:rPr>
  </w:style>
  <w:style w:type="paragraph" w:styleId="9">
    <w:name w:val="toc 7"/>
    <w:basedOn w:val="1"/>
    <w:next w:val="1"/>
    <w:semiHidden/>
    <w:qFormat/>
    <w:uiPriority w:val="99"/>
    <w:pPr>
      <w:ind w:left="112"/>
    </w:pPr>
    <w:rPr>
      <w:rFonts w:ascii="宋体" w:hAnsi="宋体" w:cs="宋体"/>
    </w:rPr>
  </w:style>
  <w:style w:type="paragraph" w:styleId="10">
    <w:name w:val="Normal Indent"/>
    <w:basedOn w:val="1"/>
    <w:link w:val="54"/>
    <w:qFormat/>
    <w:uiPriority w:val="99"/>
    <w:pPr>
      <w:ind w:firstLine="420" w:firstLineChars="200"/>
    </w:pPr>
  </w:style>
  <w:style w:type="paragraph" w:styleId="11">
    <w:name w:val="caption"/>
    <w:basedOn w:val="1"/>
    <w:next w:val="1"/>
    <w:qFormat/>
    <w:uiPriority w:val="99"/>
    <w:rPr>
      <w:rFonts w:ascii="Arial" w:hAnsi="Arial" w:eastAsia="黑体" w:cs="Arial"/>
      <w:sz w:val="20"/>
      <w:szCs w:val="20"/>
    </w:rPr>
  </w:style>
  <w:style w:type="paragraph" w:styleId="12">
    <w:name w:val="Document Map"/>
    <w:basedOn w:val="1"/>
    <w:link w:val="55"/>
    <w:semiHidden/>
    <w:qFormat/>
    <w:uiPriority w:val="99"/>
    <w:pPr>
      <w:shd w:val="clear" w:color="auto" w:fill="000080"/>
    </w:pPr>
  </w:style>
  <w:style w:type="paragraph" w:styleId="13">
    <w:name w:val="annotation text"/>
    <w:basedOn w:val="1"/>
    <w:link w:val="56"/>
    <w:qFormat/>
    <w:uiPriority w:val="0"/>
    <w:pPr>
      <w:jc w:val="left"/>
    </w:pPr>
    <w:rPr>
      <w:rFonts w:ascii="Times New Roman" w:hAnsi="Times New Roman" w:cs="Times New Roman"/>
    </w:rPr>
  </w:style>
  <w:style w:type="paragraph" w:styleId="14">
    <w:name w:val="Body Text 3"/>
    <w:basedOn w:val="1"/>
    <w:link w:val="57"/>
    <w:qFormat/>
    <w:uiPriority w:val="99"/>
    <w:pPr>
      <w:spacing w:after="120"/>
    </w:pPr>
    <w:rPr>
      <w:sz w:val="16"/>
      <w:szCs w:val="16"/>
    </w:rPr>
  </w:style>
  <w:style w:type="paragraph" w:styleId="15">
    <w:name w:val="Closing"/>
    <w:basedOn w:val="1"/>
    <w:link w:val="58"/>
    <w:qFormat/>
    <w:uiPriority w:val="99"/>
    <w:pPr>
      <w:ind w:left="100" w:leftChars="2100"/>
    </w:pPr>
    <w:rPr>
      <w:rFonts w:ascii="宋体" w:hAnsi="宋体" w:cs="宋体"/>
      <w:color w:val="000000"/>
      <w:sz w:val="24"/>
      <w:szCs w:val="24"/>
    </w:rPr>
  </w:style>
  <w:style w:type="paragraph" w:styleId="16">
    <w:name w:val="Body Text Indent"/>
    <w:basedOn w:val="1"/>
    <w:link w:val="60"/>
    <w:qFormat/>
    <w:uiPriority w:val="99"/>
    <w:pPr>
      <w:spacing w:after="120"/>
      <w:ind w:left="420" w:leftChars="200"/>
    </w:pPr>
    <w:rPr>
      <w:rFonts w:ascii="Times New Roman" w:hAnsi="Times New Roman" w:cs="Times New Roman"/>
    </w:rPr>
  </w:style>
  <w:style w:type="paragraph" w:styleId="17">
    <w:name w:val="toc 3"/>
    <w:basedOn w:val="1"/>
    <w:next w:val="1"/>
    <w:qFormat/>
    <w:uiPriority w:val="39"/>
    <w:pPr>
      <w:ind w:left="840" w:leftChars="400"/>
    </w:pPr>
  </w:style>
  <w:style w:type="paragraph" w:styleId="18">
    <w:name w:val="Plain Text"/>
    <w:basedOn w:val="1"/>
    <w:link w:val="61"/>
    <w:qFormat/>
    <w:uiPriority w:val="99"/>
    <w:rPr>
      <w:rFonts w:ascii="宋体" w:hAnsi="Courier New" w:cs="宋体"/>
    </w:rPr>
  </w:style>
  <w:style w:type="paragraph" w:styleId="19">
    <w:name w:val="Date"/>
    <w:basedOn w:val="1"/>
    <w:next w:val="1"/>
    <w:link w:val="62"/>
    <w:qFormat/>
    <w:uiPriority w:val="99"/>
    <w:rPr>
      <w:rFonts w:ascii="宋体" w:hAnsi="Courier New" w:cs="宋体"/>
      <w:sz w:val="32"/>
      <w:szCs w:val="32"/>
    </w:rPr>
  </w:style>
  <w:style w:type="paragraph" w:styleId="20">
    <w:name w:val="Body Text Indent 2"/>
    <w:basedOn w:val="1"/>
    <w:link w:val="63"/>
    <w:qFormat/>
    <w:uiPriority w:val="99"/>
    <w:pPr>
      <w:spacing w:line="500" w:lineRule="exact"/>
      <w:ind w:left="397" w:firstLine="539"/>
    </w:pPr>
    <w:rPr>
      <w:rFonts w:ascii="宋体" w:hAnsi="华文中宋" w:cs="宋体"/>
      <w:sz w:val="26"/>
      <w:szCs w:val="26"/>
    </w:rPr>
  </w:style>
  <w:style w:type="paragraph" w:styleId="21">
    <w:name w:val="Balloon Text"/>
    <w:basedOn w:val="1"/>
    <w:link w:val="64"/>
    <w:semiHidden/>
    <w:qFormat/>
    <w:uiPriority w:val="99"/>
    <w:rPr>
      <w:rFonts w:ascii="Times New Roman" w:hAnsi="Times New Roman" w:cs="Times New Roman"/>
      <w:sz w:val="18"/>
      <w:szCs w:val="18"/>
    </w:rPr>
  </w:style>
  <w:style w:type="paragraph" w:styleId="22">
    <w:name w:val="footer"/>
    <w:basedOn w:val="1"/>
    <w:link w:val="65"/>
    <w:qFormat/>
    <w:uiPriority w:val="99"/>
    <w:pPr>
      <w:tabs>
        <w:tab w:val="center" w:pos="4153"/>
        <w:tab w:val="right" w:pos="8306"/>
      </w:tabs>
      <w:snapToGrid w:val="0"/>
      <w:jc w:val="left"/>
    </w:pPr>
    <w:rPr>
      <w:rFonts w:ascii="Times New Roman" w:hAnsi="Times New Roman" w:cs="Times New Roman"/>
      <w:sz w:val="18"/>
      <w:szCs w:val="18"/>
    </w:rPr>
  </w:style>
  <w:style w:type="paragraph" w:styleId="23">
    <w:name w:val="header"/>
    <w:basedOn w:val="1"/>
    <w:link w:val="66"/>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4">
    <w:name w:val="toc 1"/>
    <w:basedOn w:val="1"/>
    <w:next w:val="1"/>
    <w:qFormat/>
    <w:uiPriority w:val="39"/>
    <w:pPr>
      <w:tabs>
        <w:tab w:val="right" w:leader="dot" w:pos="8299"/>
      </w:tabs>
      <w:spacing w:line="360" w:lineRule="exact"/>
    </w:pPr>
    <w:rPr>
      <w:rFonts w:ascii="宋体" w:hAnsi="宋体" w:cs="宋体"/>
      <w:sz w:val="24"/>
      <w:szCs w:val="24"/>
    </w:rPr>
  </w:style>
  <w:style w:type="paragraph" w:styleId="25">
    <w:name w:val="toc 4"/>
    <w:basedOn w:val="1"/>
    <w:next w:val="1"/>
    <w:semiHidden/>
    <w:qFormat/>
    <w:uiPriority w:val="99"/>
    <w:pPr>
      <w:ind w:left="1260" w:leftChars="600"/>
    </w:pPr>
  </w:style>
  <w:style w:type="paragraph" w:styleId="26">
    <w:name w:val="index heading"/>
    <w:basedOn w:val="1"/>
    <w:next w:val="27"/>
    <w:semiHidden/>
    <w:qFormat/>
    <w:uiPriority w:val="99"/>
  </w:style>
  <w:style w:type="paragraph" w:styleId="27">
    <w:name w:val="index 1"/>
    <w:basedOn w:val="1"/>
    <w:next w:val="1"/>
    <w:semiHidden/>
    <w:qFormat/>
    <w:uiPriority w:val="99"/>
  </w:style>
  <w:style w:type="paragraph" w:styleId="28">
    <w:name w:val="Subtitle"/>
    <w:basedOn w:val="1"/>
    <w:next w:val="1"/>
    <w:link w:val="67"/>
    <w:qFormat/>
    <w:uiPriority w:val="99"/>
    <w:pPr>
      <w:spacing w:before="240" w:after="60" w:line="312" w:lineRule="auto"/>
      <w:jc w:val="center"/>
      <w:outlineLvl w:val="1"/>
    </w:pPr>
    <w:rPr>
      <w:rFonts w:ascii="Cambria" w:hAnsi="Cambria" w:cs="Cambria"/>
      <w:b/>
      <w:bCs/>
      <w:kern w:val="28"/>
      <w:sz w:val="32"/>
      <w:szCs w:val="32"/>
    </w:rPr>
  </w:style>
  <w:style w:type="paragraph" w:styleId="29">
    <w:name w:val="Body Text Indent 3"/>
    <w:basedOn w:val="1"/>
    <w:link w:val="68"/>
    <w:semiHidden/>
    <w:unhideWhenUsed/>
    <w:qFormat/>
    <w:locked/>
    <w:uiPriority w:val="99"/>
    <w:pPr>
      <w:spacing w:after="120"/>
      <w:ind w:left="420" w:leftChars="200"/>
    </w:pPr>
    <w:rPr>
      <w:sz w:val="16"/>
      <w:szCs w:val="16"/>
    </w:rPr>
  </w:style>
  <w:style w:type="paragraph" w:styleId="30">
    <w:name w:val="toc 2"/>
    <w:basedOn w:val="1"/>
    <w:next w:val="1"/>
    <w:qFormat/>
    <w:uiPriority w:val="39"/>
    <w:pPr>
      <w:tabs>
        <w:tab w:val="right" w:leader="dot" w:pos="8296"/>
      </w:tabs>
      <w:spacing w:line="440" w:lineRule="exact"/>
      <w:ind w:firstLine="181" w:firstLineChars="75"/>
      <w:jc w:val="center"/>
    </w:pPr>
    <w:rPr>
      <w:rFonts w:ascii="宋体" w:hAnsi="宋体" w:cs="宋体"/>
      <w:b/>
      <w:bCs/>
      <w:smallCaps/>
      <w:sz w:val="24"/>
      <w:szCs w:val="24"/>
    </w:rPr>
  </w:style>
  <w:style w:type="paragraph" w:styleId="31">
    <w:name w:val="Body Text 2"/>
    <w:basedOn w:val="1"/>
    <w:link w:val="69"/>
    <w:qFormat/>
    <w:uiPriority w:val="99"/>
    <w:pPr>
      <w:spacing w:line="360" w:lineRule="auto"/>
    </w:pPr>
    <w:rPr>
      <w:rFonts w:ascii="宋体" w:hAnsi="宋体" w:cs="宋体"/>
      <w:color w:val="000000"/>
      <w:sz w:val="24"/>
      <w:szCs w:val="24"/>
    </w:rPr>
  </w:style>
  <w:style w:type="paragraph" w:styleId="32">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link w:val="71"/>
    <w:qFormat/>
    <w:uiPriority w:val="99"/>
    <w:pPr>
      <w:spacing w:before="240" w:after="60"/>
      <w:jc w:val="center"/>
      <w:outlineLvl w:val="0"/>
    </w:pPr>
    <w:rPr>
      <w:rFonts w:ascii="Arial" w:hAnsi="Arial" w:eastAsia="隶书" w:cs="Arial"/>
      <w:b/>
      <w:bCs/>
      <w:sz w:val="32"/>
      <w:szCs w:val="32"/>
    </w:rPr>
  </w:style>
  <w:style w:type="paragraph" w:styleId="35">
    <w:name w:val="annotation subject"/>
    <w:basedOn w:val="13"/>
    <w:next w:val="13"/>
    <w:link w:val="72"/>
    <w:semiHidden/>
    <w:qFormat/>
    <w:uiPriority w:val="99"/>
    <w:rPr>
      <w:b/>
      <w:bCs/>
    </w:rPr>
  </w:style>
  <w:style w:type="paragraph" w:styleId="36">
    <w:name w:val="Body Text First Indent"/>
    <w:basedOn w:val="1"/>
    <w:link w:val="48"/>
    <w:qFormat/>
    <w:uiPriority w:val="99"/>
    <w:pPr>
      <w:ind w:firstLine="420" w:firstLineChars="100"/>
    </w:p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99"/>
    <w:rPr>
      <w:b/>
      <w:bCs/>
    </w:rPr>
  </w:style>
  <w:style w:type="character" w:styleId="41">
    <w:name w:val="page number"/>
    <w:qFormat/>
    <w:uiPriority w:val="0"/>
    <w:rPr>
      <w:rFonts w:ascii="Arial" w:hAnsi="Arial" w:cs="Arial"/>
      <w:sz w:val="18"/>
      <w:szCs w:val="18"/>
    </w:rPr>
  </w:style>
  <w:style w:type="character" w:styleId="42">
    <w:name w:val="FollowedHyperlink"/>
    <w:qFormat/>
    <w:uiPriority w:val="99"/>
    <w:rPr>
      <w:color w:val="800080"/>
      <w:u w:val="single"/>
    </w:rPr>
  </w:style>
  <w:style w:type="character" w:styleId="43">
    <w:name w:val="Emphasis"/>
    <w:qFormat/>
    <w:uiPriority w:val="99"/>
    <w:rPr>
      <w:color w:val="auto"/>
    </w:rPr>
  </w:style>
  <w:style w:type="character" w:styleId="44">
    <w:name w:val="Hyperlink"/>
    <w:qFormat/>
    <w:uiPriority w:val="99"/>
    <w:rPr>
      <w:color w:val="0000FF"/>
      <w:u w:val="single"/>
    </w:rPr>
  </w:style>
  <w:style w:type="character" w:styleId="45">
    <w:name w:val="annotation reference"/>
    <w:semiHidden/>
    <w:qFormat/>
    <w:uiPriority w:val="99"/>
    <w:rPr>
      <w:sz w:val="21"/>
      <w:szCs w:val="21"/>
    </w:rPr>
  </w:style>
  <w:style w:type="character" w:styleId="46">
    <w:name w:val="HTML Cite"/>
    <w:qFormat/>
    <w:uiPriority w:val="99"/>
    <w:rPr>
      <w:color w:val="008000"/>
    </w:rPr>
  </w:style>
  <w:style w:type="paragraph" w:customStyle="1" w:styleId="47">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48">
    <w:name w:val="正文首行缩进 Char"/>
    <w:link w:val="36"/>
    <w:semiHidden/>
    <w:qFormat/>
    <w:uiPriority w:val="99"/>
    <w:rPr>
      <w:rFonts w:ascii="Calibri" w:hAnsi="Calibri" w:eastAsia="宋体" w:cs="Calibri"/>
      <w:kern w:val="2"/>
      <w:sz w:val="24"/>
      <w:szCs w:val="21"/>
      <w:lang w:val="en-US" w:eastAsia="zh-CN"/>
    </w:rPr>
  </w:style>
  <w:style w:type="character" w:customStyle="1" w:styleId="49">
    <w:name w:val="标题 1 Char"/>
    <w:link w:val="4"/>
    <w:qFormat/>
    <w:locked/>
    <w:uiPriority w:val="99"/>
    <w:rPr>
      <w:b/>
      <w:bCs/>
      <w:kern w:val="44"/>
      <w:sz w:val="44"/>
      <w:szCs w:val="44"/>
    </w:rPr>
  </w:style>
  <w:style w:type="character" w:customStyle="1" w:styleId="50">
    <w:name w:val="标题 2 Char"/>
    <w:link w:val="5"/>
    <w:qFormat/>
    <w:locked/>
    <w:uiPriority w:val="99"/>
    <w:rPr>
      <w:rFonts w:ascii="Arial" w:hAnsi="Arial" w:eastAsia="黑体" w:cs="Arial"/>
      <w:b/>
      <w:bCs/>
      <w:kern w:val="2"/>
      <w:sz w:val="32"/>
      <w:szCs w:val="32"/>
      <w:lang w:val="en-US" w:eastAsia="zh-CN"/>
    </w:rPr>
  </w:style>
  <w:style w:type="character" w:customStyle="1" w:styleId="51">
    <w:name w:val="标题 3 Char"/>
    <w:link w:val="6"/>
    <w:semiHidden/>
    <w:qFormat/>
    <w:uiPriority w:val="9"/>
    <w:rPr>
      <w:rFonts w:ascii="Calibri" w:hAnsi="Calibri" w:cs="Calibri"/>
      <w:b/>
      <w:bCs/>
      <w:sz w:val="32"/>
      <w:szCs w:val="32"/>
    </w:rPr>
  </w:style>
  <w:style w:type="character" w:customStyle="1" w:styleId="52">
    <w:name w:val="标题 4 Char"/>
    <w:link w:val="7"/>
    <w:qFormat/>
    <w:locked/>
    <w:uiPriority w:val="99"/>
    <w:rPr>
      <w:rFonts w:ascii="Arial" w:hAnsi="Arial" w:eastAsia="黑体" w:cs="Arial"/>
      <w:b/>
      <w:bCs/>
      <w:kern w:val="2"/>
      <w:sz w:val="28"/>
      <w:szCs w:val="28"/>
      <w:lang w:val="en-US" w:eastAsia="zh-CN"/>
    </w:rPr>
  </w:style>
  <w:style w:type="character" w:customStyle="1" w:styleId="53">
    <w:name w:val="标题 6 Char"/>
    <w:link w:val="8"/>
    <w:qFormat/>
    <w:locked/>
    <w:uiPriority w:val="99"/>
    <w:rPr>
      <w:rFonts w:ascii="Cambria" w:hAnsi="Cambria" w:eastAsia="宋体" w:cs="Cambria"/>
      <w:b/>
      <w:bCs/>
      <w:kern w:val="2"/>
      <w:sz w:val="24"/>
      <w:szCs w:val="24"/>
      <w:lang w:val="en-US" w:eastAsia="zh-CN"/>
    </w:rPr>
  </w:style>
  <w:style w:type="character" w:customStyle="1" w:styleId="54">
    <w:name w:val="正文缩进 Char"/>
    <w:link w:val="10"/>
    <w:qFormat/>
    <w:uiPriority w:val="99"/>
    <w:rPr>
      <w:rFonts w:ascii="Calibri" w:hAnsi="Calibri" w:cs="Calibri"/>
      <w:kern w:val="2"/>
      <w:sz w:val="21"/>
      <w:szCs w:val="21"/>
    </w:rPr>
  </w:style>
  <w:style w:type="character" w:customStyle="1" w:styleId="55">
    <w:name w:val="文档结构图 Char"/>
    <w:link w:val="12"/>
    <w:semiHidden/>
    <w:qFormat/>
    <w:uiPriority w:val="99"/>
    <w:rPr>
      <w:rFonts w:cs="Calibri"/>
      <w:sz w:val="0"/>
      <w:szCs w:val="0"/>
    </w:rPr>
  </w:style>
  <w:style w:type="character" w:customStyle="1" w:styleId="56">
    <w:name w:val="批注文字 Char1"/>
    <w:link w:val="13"/>
    <w:qFormat/>
    <w:locked/>
    <w:uiPriority w:val="99"/>
    <w:rPr>
      <w:rFonts w:eastAsia="宋体"/>
      <w:kern w:val="2"/>
      <w:sz w:val="24"/>
      <w:szCs w:val="24"/>
      <w:lang w:val="en-US" w:eastAsia="zh-CN"/>
    </w:rPr>
  </w:style>
  <w:style w:type="character" w:customStyle="1" w:styleId="57">
    <w:name w:val="正文文本 3 Char"/>
    <w:link w:val="14"/>
    <w:semiHidden/>
    <w:qFormat/>
    <w:uiPriority w:val="99"/>
    <w:rPr>
      <w:rFonts w:ascii="Calibri" w:hAnsi="Calibri" w:cs="Calibri"/>
      <w:sz w:val="16"/>
      <w:szCs w:val="16"/>
    </w:rPr>
  </w:style>
  <w:style w:type="character" w:customStyle="1" w:styleId="58">
    <w:name w:val="结束语 Char"/>
    <w:link w:val="15"/>
    <w:semiHidden/>
    <w:qFormat/>
    <w:uiPriority w:val="99"/>
    <w:rPr>
      <w:rFonts w:ascii="Calibri" w:hAnsi="Calibri" w:cs="Calibri"/>
      <w:szCs w:val="21"/>
    </w:rPr>
  </w:style>
  <w:style w:type="character" w:customStyle="1" w:styleId="59">
    <w:name w:val="正文文本 Char"/>
    <w:link w:val="3"/>
    <w:qFormat/>
    <w:locked/>
    <w:uiPriority w:val="99"/>
    <w:rPr>
      <w:rFonts w:eastAsia="宋体"/>
      <w:kern w:val="2"/>
      <w:sz w:val="24"/>
      <w:szCs w:val="24"/>
      <w:lang w:val="en-US" w:eastAsia="zh-CN"/>
    </w:rPr>
  </w:style>
  <w:style w:type="character" w:customStyle="1" w:styleId="60">
    <w:name w:val="正文文本缩进 Char"/>
    <w:link w:val="16"/>
    <w:qFormat/>
    <w:locked/>
    <w:uiPriority w:val="99"/>
    <w:rPr>
      <w:rFonts w:eastAsia="宋体"/>
      <w:kern w:val="2"/>
      <w:sz w:val="24"/>
      <w:szCs w:val="24"/>
      <w:lang w:val="en-US" w:eastAsia="zh-CN"/>
    </w:rPr>
  </w:style>
  <w:style w:type="character" w:customStyle="1" w:styleId="61">
    <w:name w:val="纯文本 Char1"/>
    <w:link w:val="18"/>
    <w:semiHidden/>
    <w:qFormat/>
    <w:uiPriority w:val="99"/>
    <w:rPr>
      <w:rFonts w:ascii="宋体" w:hAnsi="Courier New" w:cs="Courier New"/>
      <w:szCs w:val="21"/>
    </w:rPr>
  </w:style>
  <w:style w:type="character" w:customStyle="1" w:styleId="62">
    <w:name w:val="日期 Char"/>
    <w:link w:val="19"/>
    <w:semiHidden/>
    <w:qFormat/>
    <w:uiPriority w:val="99"/>
    <w:rPr>
      <w:rFonts w:ascii="Calibri" w:hAnsi="Calibri" w:cs="Calibri"/>
      <w:szCs w:val="21"/>
    </w:rPr>
  </w:style>
  <w:style w:type="character" w:customStyle="1" w:styleId="63">
    <w:name w:val="正文文本缩进 2 Char"/>
    <w:link w:val="20"/>
    <w:qFormat/>
    <w:locked/>
    <w:uiPriority w:val="99"/>
    <w:rPr>
      <w:rFonts w:ascii="宋体" w:hAnsi="华文中宋" w:eastAsia="宋体" w:cs="宋体"/>
      <w:kern w:val="2"/>
      <w:sz w:val="26"/>
      <w:szCs w:val="26"/>
      <w:lang w:val="en-US" w:eastAsia="zh-CN"/>
    </w:rPr>
  </w:style>
  <w:style w:type="character" w:customStyle="1" w:styleId="64">
    <w:name w:val="批注框文本 Char1"/>
    <w:link w:val="21"/>
    <w:qFormat/>
    <w:locked/>
    <w:uiPriority w:val="99"/>
    <w:rPr>
      <w:rFonts w:eastAsia="宋体"/>
      <w:kern w:val="2"/>
      <w:sz w:val="18"/>
      <w:szCs w:val="18"/>
      <w:lang w:val="en-US" w:eastAsia="zh-CN"/>
    </w:rPr>
  </w:style>
  <w:style w:type="character" w:customStyle="1" w:styleId="65">
    <w:name w:val="页脚 Char1"/>
    <w:link w:val="22"/>
    <w:qFormat/>
    <w:locked/>
    <w:uiPriority w:val="99"/>
    <w:rPr>
      <w:rFonts w:eastAsia="宋体"/>
      <w:kern w:val="2"/>
      <w:sz w:val="18"/>
      <w:szCs w:val="18"/>
      <w:lang w:val="en-US" w:eastAsia="zh-CN"/>
    </w:rPr>
  </w:style>
  <w:style w:type="character" w:customStyle="1" w:styleId="66">
    <w:name w:val="页眉 Char1"/>
    <w:link w:val="23"/>
    <w:qFormat/>
    <w:locked/>
    <w:uiPriority w:val="99"/>
    <w:rPr>
      <w:rFonts w:eastAsia="宋体"/>
      <w:kern w:val="2"/>
      <w:sz w:val="18"/>
      <w:szCs w:val="18"/>
      <w:lang w:val="en-US" w:eastAsia="zh-CN"/>
    </w:rPr>
  </w:style>
  <w:style w:type="character" w:customStyle="1" w:styleId="67">
    <w:name w:val="副标题 Char"/>
    <w:link w:val="28"/>
    <w:qFormat/>
    <w:uiPriority w:val="11"/>
    <w:rPr>
      <w:rFonts w:ascii="Cambria" w:hAnsi="Cambria" w:cs="Times New Roman"/>
      <w:b/>
      <w:bCs/>
      <w:kern w:val="28"/>
      <w:sz w:val="32"/>
      <w:szCs w:val="32"/>
    </w:rPr>
  </w:style>
  <w:style w:type="character" w:customStyle="1" w:styleId="68">
    <w:name w:val="正文文本缩进 3 Char"/>
    <w:basedOn w:val="39"/>
    <w:link w:val="29"/>
    <w:semiHidden/>
    <w:qFormat/>
    <w:uiPriority w:val="99"/>
    <w:rPr>
      <w:rFonts w:ascii="Calibri" w:hAnsi="Calibri" w:cs="Calibri"/>
      <w:kern w:val="2"/>
      <w:sz w:val="16"/>
      <w:szCs w:val="16"/>
    </w:rPr>
  </w:style>
  <w:style w:type="character" w:customStyle="1" w:styleId="69">
    <w:name w:val="正文文本 2 Char"/>
    <w:link w:val="31"/>
    <w:qFormat/>
    <w:locked/>
    <w:uiPriority w:val="99"/>
    <w:rPr>
      <w:rFonts w:ascii="宋体" w:hAnsi="宋体" w:eastAsia="宋体" w:cs="宋体"/>
      <w:color w:val="000000"/>
      <w:kern w:val="2"/>
      <w:sz w:val="24"/>
      <w:szCs w:val="24"/>
      <w:lang w:val="en-US" w:eastAsia="zh-CN"/>
    </w:rPr>
  </w:style>
  <w:style w:type="character" w:customStyle="1" w:styleId="70">
    <w:name w:val="HTML 预设格式 Char"/>
    <w:link w:val="32"/>
    <w:semiHidden/>
    <w:qFormat/>
    <w:uiPriority w:val="99"/>
    <w:rPr>
      <w:rFonts w:ascii="Courier New" w:hAnsi="Courier New" w:cs="Courier New"/>
      <w:sz w:val="20"/>
      <w:szCs w:val="20"/>
    </w:rPr>
  </w:style>
  <w:style w:type="character" w:customStyle="1" w:styleId="71">
    <w:name w:val="标题 Char"/>
    <w:link w:val="34"/>
    <w:qFormat/>
    <w:uiPriority w:val="10"/>
    <w:rPr>
      <w:rFonts w:ascii="Cambria" w:hAnsi="Cambria" w:cs="Times New Roman"/>
      <w:b/>
      <w:bCs/>
      <w:sz w:val="32"/>
      <w:szCs w:val="32"/>
    </w:rPr>
  </w:style>
  <w:style w:type="character" w:customStyle="1" w:styleId="72">
    <w:name w:val="批注主题 Char"/>
    <w:link w:val="35"/>
    <w:qFormat/>
    <w:locked/>
    <w:uiPriority w:val="99"/>
    <w:rPr>
      <w:rFonts w:eastAsia="宋体"/>
      <w:b/>
      <w:bCs/>
      <w:kern w:val="2"/>
      <w:sz w:val="24"/>
      <w:szCs w:val="24"/>
      <w:lang w:val="en-US" w:eastAsia="zh-CN"/>
    </w:rPr>
  </w:style>
  <w:style w:type="character" w:customStyle="1" w:styleId="73">
    <w:name w:val="font71"/>
    <w:qFormat/>
    <w:uiPriority w:val="99"/>
    <w:rPr>
      <w:rFonts w:ascii="宋体" w:hAnsi="宋体" w:eastAsia="宋体" w:cs="宋体"/>
      <w:color w:val="000000"/>
      <w:sz w:val="28"/>
      <w:szCs w:val="28"/>
      <w:u w:val="none"/>
    </w:rPr>
  </w:style>
  <w:style w:type="character" w:customStyle="1" w:styleId="74">
    <w:name w:val="Font Style17"/>
    <w:qFormat/>
    <w:uiPriority w:val="99"/>
    <w:rPr>
      <w:rFonts w:ascii="黑体" w:eastAsia="黑体" w:cs="黑体"/>
      <w:sz w:val="28"/>
      <w:szCs w:val="28"/>
    </w:rPr>
  </w:style>
  <w:style w:type="character" w:customStyle="1" w:styleId="75">
    <w:name w:val="font41"/>
    <w:qFormat/>
    <w:uiPriority w:val="99"/>
    <w:rPr>
      <w:rFonts w:ascii="Times New Roman" w:hAnsi="Times New Roman" w:cs="Times New Roman"/>
      <w:color w:val="000000"/>
      <w:sz w:val="28"/>
      <w:szCs w:val="28"/>
      <w:u w:val="none"/>
    </w:rPr>
  </w:style>
  <w:style w:type="character" w:customStyle="1" w:styleId="76">
    <w:name w:val="font51"/>
    <w:qFormat/>
    <w:uiPriority w:val="99"/>
    <w:rPr>
      <w:rFonts w:ascii="Times New Roman" w:hAnsi="Times New Roman" w:cs="Times New Roman"/>
      <w:color w:val="000000"/>
      <w:sz w:val="28"/>
      <w:szCs w:val="28"/>
      <w:u w:val="none"/>
    </w:rPr>
  </w:style>
  <w:style w:type="character" w:customStyle="1" w:styleId="77">
    <w:name w:val="font81"/>
    <w:qFormat/>
    <w:uiPriority w:val="99"/>
    <w:rPr>
      <w:rFonts w:ascii="仿宋_GB2312" w:eastAsia="仿宋_GB2312" w:cs="仿宋_GB2312"/>
      <w:color w:val="000000"/>
      <w:sz w:val="28"/>
      <w:szCs w:val="28"/>
      <w:u w:val="none"/>
    </w:rPr>
  </w:style>
  <w:style w:type="character" w:customStyle="1" w:styleId="78">
    <w:name w:val="标题 3 Char1"/>
    <w:qFormat/>
    <w:uiPriority w:val="99"/>
    <w:rPr>
      <w:rFonts w:eastAsia="宋体"/>
      <w:b/>
      <w:bCs/>
      <w:kern w:val="2"/>
      <w:sz w:val="32"/>
      <w:szCs w:val="32"/>
      <w:lang w:val="en-US" w:eastAsia="zh-CN"/>
    </w:rPr>
  </w:style>
  <w:style w:type="character" w:customStyle="1" w:styleId="79">
    <w:name w:val="标题 3 Char Char"/>
    <w:qFormat/>
    <w:uiPriority w:val="99"/>
    <w:rPr>
      <w:rFonts w:ascii="黑体" w:eastAsia="黑体" w:cs="黑体"/>
      <w:sz w:val="30"/>
      <w:szCs w:val="30"/>
    </w:rPr>
  </w:style>
  <w:style w:type="character" w:customStyle="1" w:styleId="80">
    <w:name w:val="样式 小五"/>
    <w:qFormat/>
    <w:uiPriority w:val="99"/>
    <w:rPr>
      <w:rFonts w:eastAsia="仿宋_GB2312"/>
      <w:sz w:val="18"/>
      <w:szCs w:val="18"/>
    </w:rPr>
  </w:style>
  <w:style w:type="character" w:customStyle="1" w:styleId="81">
    <w:name w:val="批注框文本 Char"/>
    <w:qFormat/>
    <w:uiPriority w:val="99"/>
    <w:rPr>
      <w:rFonts w:ascii="Times New Roman" w:hAnsi="Times New Roman" w:eastAsia="宋体" w:cs="Times New Roman"/>
      <w:sz w:val="18"/>
      <w:szCs w:val="18"/>
    </w:rPr>
  </w:style>
  <w:style w:type="character" w:customStyle="1" w:styleId="82">
    <w:name w:val="font101"/>
    <w:qFormat/>
    <w:uiPriority w:val="99"/>
    <w:rPr>
      <w:rFonts w:ascii="宋体" w:hAnsi="宋体" w:eastAsia="宋体" w:cs="宋体"/>
      <w:color w:val="000000"/>
      <w:sz w:val="28"/>
      <w:szCs w:val="28"/>
      <w:u w:val="none"/>
    </w:rPr>
  </w:style>
  <w:style w:type="character" w:customStyle="1" w:styleId="83">
    <w:name w:val="样式 普通(网站) + 小五 Char Char"/>
    <w:link w:val="84"/>
    <w:qFormat/>
    <w:locked/>
    <w:uiPriority w:val="99"/>
    <w:rPr>
      <w:rFonts w:ascii="Arial Unicode MS" w:hAnsi="Arial Unicode MS" w:eastAsia="仿宋_GB2312" w:cs="Arial Unicode MS"/>
      <w:sz w:val="24"/>
      <w:szCs w:val="24"/>
      <w:lang w:val="en-US" w:eastAsia="zh-CN"/>
    </w:rPr>
  </w:style>
  <w:style w:type="paragraph" w:customStyle="1" w:styleId="84">
    <w:name w:val="样式 普通(网站) + 小五"/>
    <w:basedOn w:val="33"/>
    <w:link w:val="83"/>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5">
    <w:name w:val="保留正文"/>
    <w:basedOn w:val="3"/>
    <w:qFormat/>
    <w:uiPriority w:val="99"/>
    <w:pPr>
      <w:keepNext/>
      <w:spacing w:after="160"/>
    </w:pPr>
  </w:style>
  <w:style w:type="paragraph" w:customStyle="1" w:styleId="86">
    <w:name w:val="题注4"/>
    <w:basedOn w:val="1"/>
    <w:next w:val="11"/>
    <w:qFormat/>
    <w:uiPriority w:val="99"/>
    <w:pPr>
      <w:ind w:left="-132" w:leftChars="-64" w:right="-105" w:rightChars="-50" w:hanging="2"/>
      <w:jc w:val="center"/>
    </w:pPr>
    <w:rPr>
      <w:b/>
      <w:bCs/>
      <w:color w:val="FF0000"/>
      <w:lang w:val="en-GB"/>
    </w:rPr>
  </w:style>
  <w:style w:type="paragraph" w:customStyle="1" w:styleId="87">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标题3"/>
    <w:basedOn w:val="6"/>
    <w:qFormat/>
    <w:uiPriority w:val="99"/>
    <w:pPr>
      <w:tabs>
        <w:tab w:val="left" w:pos="8640"/>
      </w:tabs>
      <w:adjustRightInd w:val="0"/>
      <w:jc w:val="left"/>
      <w:textAlignment w:val="baseline"/>
    </w:pPr>
    <w:rPr>
      <w:rFonts w:hAnsi="宋体"/>
      <w:sz w:val="32"/>
      <w:szCs w:val="32"/>
    </w:rPr>
  </w:style>
  <w:style w:type="paragraph" w:customStyle="1" w:styleId="89">
    <w:name w:val="页脚 New"/>
    <w:basedOn w:val="90"/>
    <w:qFormat/>
    <w:uiPriority w:val="99"/>
    <w:pPr>
      <w:widowControl/>
      <w:tabs>
        <w:tab w:val="center" w:pos="4153"/>
        <w:tab w:val="right" w:pos="8306"/>
      </w:tabs>
      <w:snapToGrid w:val="0"/>
      <w:jc w:val="left"/>
    </w:pPr>
    <w:rPr>
      <w:sz w:val="18"/>
      <w:szCs w:val="18"/>
    </w:rPr>
  </w:style>
  <w:style w:type="paragraph" w:customStyle="1" w:styleId="90">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1">
    <w:name w:val="Char1"/>
    <w:basedOn w:val="1"/>
    <w:qFormat/>
    <w:uiPriority w:val="99"/>
    <w:pPr>
      <w:widowControl/>
      <w:spacing w:before="100" w:beforeAutospacing="1" w:after="100" w:afterAutospacing="1" w:line="330" w:lineRule="atLeast"/>
      <w:ind w:left="360"/>
      <w:jc w:val="left"/>
    </w:pPr>
  </w:style>
  <w:style w:type="paragraph" w:customStyle="1" w:styleId="92">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3">
    <w:name w:val="修订1"/>
    <w:qFormat/>
    <w:uiPriority w:val="99"/>
    <w:rPr>
      <w:rFonts w:ascii="Calibri" w:hAnsi="Calibri" w:eastAsia="宋体" w:cs="Calibri"/>
      <w:kern w:val="2"/>
      <w:sz w:val="21"/>
      <w:szCs w:val="21"/>
      <w:lang w:val="en-US" w:eastAsia="zh-CN" w:bidi="ar-SA"/>
    </w:rPr>
  </w:style>
  <w:style w:type="paragraph" w:customStyle="1" w:styleId="94">
    <w:name w:val="题注5"/>
    <w:basedOn w:val="1"/>
    <w:next w:val="11"/>
    <w:qFormat/>
    <w:uiPriority w:val="99"/>
    <w:pPr>
      <w:jc w:val="center"/>
    </w:pPr>
    <w:rPr>
      <w:b/>
      <w:bCs/>
      <w:color w:val="000000"/>
      <w:sz w:val="24"/>
      <w:szCs w:val="24"/>
    </w:rPr>
  </w:style>
  <w:style w:type="paragraph" w:customStyle="1" w:styleId="95">
    <w:name w:val="列出段落1"/>
    <w:basedOn w:val="1"/>
    <w:qFormat/>
    <w:uiPriority w:val="99"/>
    <w:pPr>
      <w:widowControl/>
      <w:ind w:left="720"/>
      <w:jc w:val="left"/>
    </w:pPr>
    <w:rPr>
      <w:i/>
      <w:iCs/>
      <w:kern w:val="0"/>
      <w:sz w:val="20"/>
      <w:szCs w:val="20"/>
    </w:rPr>
  </w:style>
  <w:style w:type="paragraph" w:customStyle="1" w:styleId="96">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7">
    <w:name w:val="_Style 1"/>
    <w:basedOn w:val="1"/>
    <w:qFormat/>
    <w:uiPriority w:val="99"/>
    <w:pPr>
      <w:ind w:firstLine="420" w:firstLineChars="200"/>
    </w:pPr>
  </w:style>
  <w:style w:type="paragraph" w:customStyle="1" w:styleId="98">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9">
    <w:name w:val="Char Char Char Char"/>
    <w:basedOn w:val="1"/>
    <w:qFormat/>
    <w:uiPriority w:val="99"/>
    <w:rPr>
      <w:rFonts w:ascii="Tahoma" w:hAnsi="Tahoma" w:cs="Tahoma"/>
      <w:sz w:val="24"/>
      <w:szCs w:val="24"/>
    </w:rPr>
  </w:style>
  <w:style w:type="paragraph" w:customStyle="1" w:styleId="100">
    <w:name w:val="Char Char2 Char"/>
    <w:basedOn w:val="1"/>
    <w:qFormat/>
    <w:uiPriority w:val="99"/>
    <w:rPr>
      <w:rFonts w:ascii="宋体" w:hAnsi="宋体" w:cs="宋体"/>
      <w:b/>
      <w:bCs/>
      <w:sz w:val="28"/>
      <w:szCs w:val="28"/>
    </w:rPr>
  </w:style>
  <w:style w:type="paragraph" w:customStyle="1" w:styleId="101">
    <w:name w:val="正文缩入"/>
    <w:basedOn w:val="1"/>
    <w:qFormat/>
    <w:uiPriority w:val="99"/>
    <w:pPr>
      <w:spacing w:after="120"/>
      <w:ind w:firstLine="504"/>
    </w:pPr>
    <w:rPr>
      <w:sz w:val="24"/>
      <w:szCs w:val="24"/>
    </w:rPr>
  </w:style>
  <w:style w:type="paragraph" w:styleId="102">
    <w:name w:val="List Paragraph"/>
    <w:basedOn w:val="1"/>
    <w:qFormat/>
    <w:uiPriority w:val="34"/>
    <w:pPr>
      <w:ind w:firstLine="420" w:firstLineChars="200"/>
    </w:pPr>
  </w:style>
  <w:style w:type="paragraph" w:customStyle="1" w:styleId="103">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104">
    <w:name w:val="填表"/>
    <w:qFormat/>
    <w:uiPriority w:val="99"/>
    <w:rPr>
      <w:rFonts w:ascii="Calibri" w:hAnsi="Calibri" w:eastAsia="宋体" w:cs="Calibri"/>
      <w:kern w:val="2"/>
      <w:sz w:val="18"/>
      <w:szCs w:val="18"/>
      <w:lang w:val="en-US" w:eastAsia="zh-CN" w:bidi="ar-SA"/>
    </w:rPr>
  </w:style>
  <w:style w:type="paragraph" w:customStyle="1" w:styleId="105">
    <w:name w:val="_Style 55"/>
    <w:basedOn w:val="1"/>
    <w:qFormat/>
    <w:uiPriority w:val="99"/>
    <w:pPr>
      <w:widowControl/>
      <w:spacing w:after="160" w:line="240" w:lineRule="exact"/>
      <w:jc w:val="left"/>
    </w:pPr>
  </w:style>
  <w:style w:type="paragraph" w:customStyle="1" w:styleId="106">
    <w:name w:val="正文文本缩进 21"/>
    <w:basedOn w:val="1"/>
    <w:qFormat/>
    <w:uiPriority w:val="99"/>
    <w:pPr>
      <w:spacing w:after="120" w:line="480" w:lineRule="auto"/>
      <w:ind w:left="420" w:leftChars="200"/>
    </w:pPr>
  </w:style>
  <w:style w:type="paragraph" w:customStyle="1" w:styleId="107">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8">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9">
    <w:name w:val="Char Char Char Char1"/>
    <w:basedOn w:val="1"/>
    <w:qFormat/>
    <w:uiPriority w:val="99"/>
    <w:rPr>
      <w:rFonts w:ascii="Tahoma" w:hAnsi="Tahoma" w:cs="Tahoma"/>
      <w:sz w:val="24"/>
      <w:szCs w:val="24"/>
    </w:rPr>
  </w:style>
  <w:style w:type="paragraph" w:customStyle="1" w:styleId="110">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11">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12">
    <w:name w:val="标准正文"/>
    <w:basedOn w:val="16"/>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13">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4">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5">
    <w:name w:val="_正文"/>
    <w:basedOn w:val="1"/>
    <w:qFormat/>
    <w:uiPriority w:val="99"/>
    <w:pPr>
      <w:spacing w:line="360" w:lineRule="auto"/>
      <w:ind w:firstLine="200" w:firstLineChars="200"/>
    </w:pPr>
    <w:rPr>
      <w:rFonts w:ascii="宋体" w:hAnsi="宋体" w:cs="宋体"/>
      <w:sz w:val="24"/>
      <w:szCs w:val="24"/>
    </w:rPr>
  </w:style>
  <w:style w:type="paragraph" w:customStyle="1" w:styleId="116">
    <w:name w:val="1"/>
    <w:basedOn w:val="1"/>
    <w:next w:val="18"/>
    <w:qFormat/>
    <w:uiPriority w:val="99"/>
    <w:rPr>
      <w:rFonts w:ascii="宋体" w:hAnsi="Courier New" w:cs="宋体"/>
    </w:rPr>
  </w:style>
  <w:style w:type="paragraph" w:customStyle="1" w:styleId="117">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TOC 标题1"/>
    <w:basedOn w:val="4"/>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9">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20">
    <w:name w:val="列出段落11"/>
    <w:basedOn w:val="1"/>
    <w:qFormat/>
    <w:uiPriority w:val="99"/>
    <w:pPr>
      <w:ind w:firstLine="420" w:firstLineChars="200"/>
    </w:pPr>
  </w:style>
  <w:style w:type="paragraph" w:customStyle="1" w:styleId="121">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2">
    <w:name w:val="_Style 3"/>
    <w:basedOn w:val="1"/>
    <w:qFormat/>
    <w:uiPriority w:val="99"/>
    <w:pPr>
      <w:ind w:firstLine="420" w:firstLineChars="200"/>
    </w:pPr>
  </w:style>
  <w:style w:type="paragraph" w:customStyle="1" w:styleId="123">
    <w:name w:val="Char Char Char Char Char Char1 Char"/>
    <w:basedOn w:val="1"/>
    <w:qFormat/>
    <w:uiPriority w:val="99"/>
    <w:pPr>
      <w:widowControl/>
      <w:spacing w:after="160" w:line="240" w:lineRule="exact"/>
      <w:jc w:val="left"/>
    </w:pPr>
  </w:style>
  <w:style w:type="paragraph" w:customStyle="1" w:styleId="124">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5">
    <w:name w:val="p0"/>
    <w:basedOn w:val="1"/>
    <w:qFormat/>
    <w:uiPriority w:val="99"/>
    <w:pPr>
      <w:widowControl/>
    </w:pPr>
    <w:rPr>
      <w:kern w:val="0"/>
    </w:rPr>
  </w:style>
  <w:style w:type="paragraph" w:customStyle="1" w:styleId="126">
    <w:name w:val="Char Char2"/>
    <w:basedOn w:val="1"/>
    <w:qFormat/>
    <w:uiPriority w:val="99"/>
  </w:style>
  <w:style w:type="character" w:customStyle="1" w:styleId="127">
    <w:name w:val="未处理的提及1"/>
    <w:semiHidden/>
    <w:qFormat/>
    <w:uiPriority w:val="99"/>
    <w:rPr>
      <w:color w:val="auto"/>
      <w:shd w:val="clear" w:color="auto" w:fill="auto"/>
    </w:rPr>
  </w:style>
  <w:style w:type="character" w:customStyle="1" w:styleId="128">
    <w:name w:val="纯文本 Char"/>
    <w:qFormat/>
    <w:uiPriority w:val="99"/>
    <w:rPr>
      <w:rFonts w:ascii="宋体" w:hAnsi="Courier New" w:eastAsia="宋体" w:cs="Times New Roman"/>
      <w:szCs w:val="21"/>
    </w:rPr>
  </w:style>
  <w:style w:type="character" w:customStyle="1" w:styleId="129">
    <w:name w:val="页眉 Char"/>
    <w:qFormat/>
    <w:uiPriority w:val="99"/>
    <w:rPr>
      <w:rFonts w:ascii="Times New Roman" w:hAnsi="Times New Roman" w:eastAsia="宋体" w:cs="Times New Roman"/>
      <w:sz w:val="18"/>
      <w:szCs w:val="18"/>
    </w:rPr>
  </w:style>
  <w:style w:type="character" w:customStyle="1" w:styleId="130">
    <w:name w:val="页脚 Char"/>
    <w:qFormat/>
    <w:uiPriority w:val="99"/>
    <w:rPr>
      <w:rFonts w:ascii="Times New Roman" w:hAnsi="Times New Roman" w:eastAsia="宋体" w:cs="Times New Roman"/>
      <w:sz w:val="18"/>
      <w:szCs w:val="18"/>
    </w:rPr>
  </w:style>
  <w:style w:type="character" w:customStyle="1" w:styleId="131">
    <w:name w:val="font31"/>
    <w:qFormat/>
    <w:uiPriority w:val="0"/>
    <w:rPr>
      <w:rFonts w:ascii="Microsoft YaHei UI" w:hAnsi="Microsoft YaHei UI" w:eastAsia="Microsoft YaHei UI" w:cs="Microsoft YaHei UI"/>
      <w:color w:val="000000"/>
      <w:sz w:val="20"/>
      <w:szCs w:val="20"/>
      <w:u w:val="none"/>
    </w:rPr>
  </w:style>
  <w:style w:type="character" w:customStyle="1" w:styleId="132">
    <w:name w:val="批注文字 Char"/>
    <w:qFormat/>
    <w:uiPriority w:val="99"/>
    <w:rPr>
      <w:rFonts w:ascii="Times New Roman" w:hAnsi="Times New Roman" w:eastAsia="宋体" w:cs="Times New Roman"/>
      <w:szCs w:val="21"/>
    </w:rPr>
  </w:style>
  <w:style w:type="character" w:customStyle="1" w:styleId="133">
    <w:name w:val="批注文字 字符1"/>
    <w:qFormat/>
    <w:uiPriority w:val="0"/>
    <w:rPr>
      <w:rFonts w:ascii="Times New Roman" w:hAnsi="Times New Roman"/>
      <w:kern w:val="2"/>
      <w:sz w:val="21"/>
      <w:szCs w:val="24"/>
    </w:rPr>
  </w:style>
  <w:style w:type="paragraph" w:customStyle="1" w:styleId="134">
    <w:name w:val="TOC 标题2"/>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17673</Words>
  <Characters>18560</Characters>
  <Lines>291</Lines>
  <Paragraphs>81</Paragraphs>
  <TotalTime>2</TotalTime>
  <ScaleCrop>false</ScaleCrop>
  <LinksUpToDate>false</LinksUpToDate>
  <CharactersWithSpaces>19338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2021-06-26T10:06:00Z</dcterms:created>
  <dc:creator>dministrator</dc:creator>
  <cp:lastModifiedBy>葳蕤</cp:lastModifiedBy>
  <cp:lastPrinted>2022-11-01T01:05:00Z</cp:lastPrinted>
  <dcterms:modified xsi:type="dcterms:W3CDTF">2024-12-17T07:40:36Z</dcterms:modified>
  <dc:title>国内货物采购招标文件</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0DFCF381E19E45729CF6444D805E7D40_13</vt:lpwstr>
  </property>
</Properties>
</file>