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color w:val="auto"/>
          <w:spacing w:val="20"/>
          <w:kern w:val="10"/>
          <w:sz w:val="36"/>
          <w:szCs w:val="36"/>
        </w:rPr>
      </w:pPr>
      <w:r>
        <w:rPr>
          <w:rFonts w:hint="eastAsia" w:ascii="华文新魏" w:hAnsi="Times New Roman" w:eastAsia="华文新魏" w:cs="华文新魏"/>
          <w:b/>
          <w:bCs/>
          <w:color w:val="auto"/>
          <w:spacing w:val="20"/>
          <w:kern w:val="10"/>
          <w:sz w:val="36"/>
          <w:szCs w:val="36"/>
        </w:rPr>
        <w:t>搬迁财经校区固定资产等物资到新校区项目</w:t>
      </w:r>
    </w:p>
    <w:p>
      <w:pPr>
        <w:spacing w:line="360" w:lineRule="auto"/>
        <w:jc w:val="center"/>
        <w:rPr>
          <w:rFonts w:ascii="华文新魏" w:hAnsi="Times New Roman" w:eastAsia="华文新魏" w:cs="华文新魏"/>
          <w:b/>
          <w:bCs/>
          <w:spacing w:val="20"/>
          <w:kern w:val="10"/>
          <w:sz w:val="36"/>
          <w:szCs w:val="36"/>
        </w:rPr>
      </w:pPr>
      <w:bookmarkStart w:id="0" w:name="OLE_LINK2"/>
    </w:p>
    <w:p>
      <w:pPr>
        <w:spacing w:line="360" w:lineRule="auto"/>
        <w:jc w:val="center"/>
        <w:rPr>
          <w:rFonts w:ascii="华文新魏" w:hAnsi="Times New Roman" w:eastAsia="华文新魏"/>
          <w:bCs/>
          <w:spacing w:val="20"/>
          <w:kern w:val="10"/>
          <w:sz w:val="36"/>
          <w:szCs w:val="36"/>
          <w:u w:val="single"/>
        </w:rPr>
      </w:pPr>
      <w:r>
        <w:rPr>
          <w:rFonts w:hint="eastAsia" w:ascii="华文新魏" w:hAnsi="Times New Roman" w:eastAsia="华文新魏" w:cs="华文新魏"/>
          <w:b/>
          <w:bCs/>
          <w:spacing w:val="20"/>
          <w:kern w:val="10"/>
          <w:sz w:val="36"/>
          <w:szCs w:val="36"/>
        </w:rPr>
        <w:t>项目编号：</w:t>
      </w:r>
      <w:bookmarkEnd w:id="0"/>
      <w:r>
        <w:rPr>
          <w:rFonts w:ascii="华文新魏" w:hAnsi="Times New Roman" w:eastAsia="华文新魏" w:cs="华文新魏"/>
          <w:b/>
          <w:bCs/>
          <w:spacing w:val="20"/>
          <w:kern w:val="10"/>
          <w:sz w:val="36"/>
          <w:szCs w:val="36"/>
        </w:rPr>
        <w:t>GXNNJSXY2025015XD01C</w:t>
      </w:r>
    </w:p>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color w:val="auto"/>
          <w:sz w:val="40"/>
          <w:szCs w:val="40"/>
        </w:rPr>
      </w:pPr>
      <w:r>
        <w:rPr>
          <w:rFonts w:eastAsia="黑体"/>
          <w:color w:val="auto"/>
          <w:sz w:val="40"/>
          <w:szCs w:val="40"/>
        </w:rPr>
        <w:t>202</w:t>
      </w:r>
      <w:r>
        <w:rPr>
          <w:rFonts w:hint="eastAsia" w:eastAsia="黑体"/>
          <w:color w:val="auto"/>
          <w:sz w:val="40"/>
          <w:szCs w:val="40"/>
        </w:rPr>
        <w:t>5</w:t>
      </w:r>
      <w:r>
        <w:rPr>
          <w:rFonts w:hint="eastAsia" w:eastAsia="黑体" w:cs="黑体"/>
          <w:color w:val="auto"/>
          <w:sz w:val="40"/>
          <w:szCs w:val="40"/>
        </w:rPr>
        <w:t>年9月</w:t>
      </w:r>
    </w:p>
    <w:p>
      <w:pPr>
        <w:rPr>
          <w:rFonts w:ascii="黑体" w:hAnsi="宋体" w:eastAsia="黑体"/>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sz w:val="30"/>
          <w:szCs w:val="30"/>
          <w:u w:val="single"/>
        </w:rPr>
        <w:t xml:space="preserve"> </w:t>
      </w:r>
      <w:r>
        <w:rPr>
          <w:rFonts w:ascii="黑体" w:hAnsi="宋体" w:eastAsia="黑体"/>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sz w:val="28"/>
          <w:szCs w:val="28"/>
        </w:rPr>
      </w:pPr>
      <w:r>
        <w:rPr>
          <w:rFonts w:ascii="宋体" w:hAnsi="宋体"/>
          <w:sz w:val="28"/>
          <w:szCs w:val="28"/>
        </w:rPr>
        <w:br w:type="column"/>
      </w: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rPr>
          <w:rFonts w:ascii="宋体" w:hAnsi="宋体"/>
          <w:sz w:val="28"/>
          <w:szCs w:val="28"/>
        </w:rPr>
      </w:pPr>
      <w:r>
        <w:rPr>
          <w:rFonts w:hint="eastAsia" w:ascii="宋体" w:hAnsi="宋体" w:cs="宋体"/>
          <w:kern w:val="28"/>
        </w:rPr>
        <w:t>广西南宁技师学院（以下简称“采购人”）</w:t>
      </w:r>
      <w:r>
        <w:rPr>
          <w:rFonts w:hint="eastAsia" w:ascii="宋体" w:hAnsi="宋体" w:cs="宋体"/>
          <w:color w:val="auto"/>
          <w:kern w:val="28"/>
        </w:rPr>
        <w:t>对广西南宁技师学院</w:t>
      </w:r>
      <w:r>
        <w:rPr>
          <w:color w:val="auto"/>
        </w:rPr>
        <w:t>搬迁财经校区固定资产等物资到新校区项目</w:t>
      </w:r>
      <w:r>
        <w:rPr>
          <w:rFonts w:hint="eastAsia" w:ascii="宋体" w:hAnsi="宋体" w:cs="宋体"/>
          <w:color w:val="auto"/>
          <w:kern w:val="28"/>
        </w:rPr>
        <w:t>以询价方式采购，欢迎符合</w:t>
      </w:r>
      <w:r>
        <w:rPr>
          <w:rFonts w:hint="eastAsia" w:ascii="宋体" w:hAnsi="宋体" w:cs="宋体"/>
          <w:kern w:val="28"/>
        </w:rPr>
        <w:t>资格条件的供应商参加。</w:t>
      </w:r>
    </w:p>
    <w:p>
      <w:pPr>
        <w:spacing w:line="360" w:lineRule="auto"/>
        <w:ind w:firstLine="420" w:firstLineChars="200"/>
        <w:rPr>
          <w:rFonts w:ascii="宋体" w:hAnsi="宋体"/>
          <w:color w:val="FF0000"/>
          <w:kern w:val="28"/>
        </w:rPr>
      </w:pPr>
      <w:r>
        <w:rPr>
          <w:rFonts w:hint="eastAsia" w:ascii="宋体" w:hAnsi="宋体" w:cs="宋体"/>
          <w:kern w:val="28"/>
        </w:rPr>
        <w:t>一、采购项目编号：</w:t>
      </w:r>
      <w:r>
        <w:rPr>
          <w:rFonts w:ascii="宋体" w:hAnsi="宋体" w:cs="宋体"/>
          <w:kern w:val="28"/>
        </w:rPr>
        <w:t>GXNNJSXY2025015XD01C</w:t>
      </w:r>
    </w:p>
    <w:p>
      <w:pPr>
        <w:spacing w:line="360" w:lineRule="auto"/>
        <w:ind w:firstLine="420" w:firstLineChars="200"/>
        <w:rPr>
          <w:rFonts w:ascii="宋体" w:hAnsi="宋体"/>
          <w:color w:val="FF0000"/>
          <w:kern w:val="28"/>
        </w:rPr>
      </w:pPr>
      <w:r>
        <w:rPr>
          <w:rFonts w:hint="eastAsia" w:ascii="宋体" w:hAnsi="宋体" w:cs="宋体"/>
          <w:kern w:val="28"/>
        </w:rPr>
        <w:t>二、项目名称：</w:t>
      </w:r>
      <w:r>
        <w:rPr>
          <w:color w:val="auto"/>
        </w:rPr>
        <w:t>广西南宁技师学院搬迁财经校区固定资产等物资到新校区项目</w:t>
      </w:r>
    </w:p>
    <w:p>
      <w:pPr>
        <w:spacing w:line="360" w:lineRule="auto"/>
        <w:ind w:firstLine="420" w:firstLineChars="200"/>
        <w:rPr>
          <w:rFonts w:ascii="宋体" w:hAnsi="宋体"/>
          <w:kern w:val="28"/>
        </w:rPr>
      </w:pPr>
      <w:r>
        <w:rPr>
          <w:rFonts w:hint="eastAsia" w:ascii="宋体" w:hAnsi="宋体" w:cs="宋体"/>
          <w:kern w:val="28"/>
        </w:rPr>
        <w:t>三、采购预算：</w:t>
      </w:r>
      <w:r>
        <w:rPr>
          <w:rFonts w:ascii="宋体" w:hAnsi="宋体"/>
          <w:color w:val="auto"/>
          <w:kern w:val="28"/>
        </w:rPr>
        <w:t xml:space="preserve"> </w:t>
      </w:r>
      <w:r>
        <w:rPr>
          <w:rFonts w:ascii="宋体" w:hAnsi="宋体"/>
          <w:color w:val="auto"/>
          <w:kern w:val="28"/>
          <w:u w:val="single"/>
        </w:rPr>
        <w:t xml:space="preserve"> </w:t>
      </w:r>
      <w:r>
        <w:rPr>
          <w:rFonts w:hint="eastAsia" w:ascii="宋体" w:hAnsi="宋体"/>
          <w:color w:val="auto"/>
          <w:kern w:val="28"/>
          <w:u w:val="single"/>
        </w:rPr>
        <w:t>￥205801元</w:t>
      </w:r>
      <w:r>
        <w:rPr>
          <w:rFonts w:ascii="宋体" w:hAnsi="宋体"/>
          <w:color w:val="auto"/>
          <w:kern w:val="28"/>
          <w:u w:val="single"/>
        </w:rPr>
        <w:t xml:space="preserve">  </w:t>
      </w:r>
      <w:r>
        <w:rPr>
          <w:rFonts w:hint="eastAsia" w:ascii="宋体" w:hAnsi="宋体" w:cs="宋体"/>
          <w:color w:val="auto"/>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四、搬迁设备数量：</w:t>
      </w:r>
      <w:r>
        <w:rPr>
          <w:rFonts w:ascii="宋体" w:hAnsi="宋体" w:cs="宋体"/>
          <w:lang w:val="zh-CN"/>
        </w:rPr>
        <w:t>1</w:t>
      </w:r>
      <w:r>
        <w:rPr>
          <w:rFonts w:hint="eastAsia" w:ascii="宋体" w:hAnsi="宋体" w:cs="宋体"/>
          <w:lang w:val="zh-CN"/>
        </w:rPr>
        <w:t>批。</w:t>
      </w:r>
    </w:p>
    <w:p>
      <w:pPr>
        <w:pStyle w:val="34"/>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ind w:firstLine="420" w:firstLineChars="200"/>
        <w:rPr>
          <w:rFonts w:ascii="宋体" w:hAnsi="宋体"/>
        </w:rPr>
      </w:pPr>
      <w:r>
        <w:rPr>
          <w:rFonts w:hint="eastAsia" w:ascii="宋体" w:hAnsi="宋体"/>
        </w:rPr>
        <w:t>3.本项目的特定资格要求：投标人必须提供投标单位《营业执照》复印件，并含单位联系人、通讯方式等，且所有复印件需加盖公章。</w:t>
      </w:r>
    </w:p>
    <w:p>
      <w:pPr>
        <w:spacing w:line="360" w:lineRule="auto"/>
        <w:ind w:firstLine="420" w:firstLineChars="200"/>
        <w:rPr>
          <w:rFonts w:ascii="宋体" w:hAnsi="宋体"/>
        </w:rPr>
      </w:pPr>
      <w:r>
        <w:rPr>
          <w:rFonts w:hint="eastAsia" w:ascii="宋体" w:hAnsi="宋体"/>
        </w:rPr>
        <w:t>4. 本项目的特定条件：无</w:t>
      </w: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7.本项目不接受联合体投标</w:t>
      </w:r>
    </w:p>
    <w:p>
      <w:pPr>
        <w:widowControl/>
        <w:spacing w:line="360" w:lineRule="auto"/>
        <w:ind w:firstLine="420" w:firstLineChars="200"/>
        <w:rPr>
          <w:rFonts w:ascii="宋体" w:hAnsi="宋体" w:cs="宋体"/>
          <w:kern w:val="28"/>
        </w:rPr>
      </w:pPr>
      <w:r>
        <w:rPr>
          <w:rFonts w:hint="eastAsia" w:ascii="宋体" w:hAnsi="宋体" w:cs="宋体"/>
          <w:kern w:val="28"/>
        </w:rPr>
        <w:t>八、投标人报名及现场查勘：</w:t>
      </w:r>
    </w:p>
    <w:p>
      <w:pPr>
        <w:widowControl/>
        <w:spacing w:line="360" w:lineRule="auto"/>
        <w:ind w:firstLine="420" w:firstLineChars="200"/>
        <w:rPr>
          <w:rFonts w:ascii="宋体" w:hAnsi="宋体" w:cs="宋体"/>
          <w:color w:val="auto"/>
          <w:kern w:val="28"/>
        </w:rPr>
      </w:pPr>
      <w:r>
        <w:rPr>
          <w:rFonts w:hint="eastAsia" w:ascii="宋体" w:hAnsi="宋体" w:cs="宋体"/>
          <w:kern w:val="28"/>
        </w:rPr>
        <w:t>1.为了保证该项目顺利进行，由采购人统一组织投标人到现场勘查，充分了解</w:t>
      </w:r>
      <w:r>
        <w:rPr>
          <w:rFonts w:hint="eastAsia" w:ascii="宋体" w:hAnsi="宋体" w:cs="宋体"/>
          <w:color w:val="auto"/>
          <w:kern w:val="28"/>
        </w:rPr>
        <w:t>广西南宁技师学院</w:t>
      </w:r>
      <w:r>
        <w:rPr>
          <w:color w:val="auto"/>
        </w:rPr>
        <w:t>搬迁财经校区固定资产等物资到新校区项目</w:t>
      </w:r>
      <w:r>
        <w:rPr>
          <w:rFonts w:hint="eastAsia" w:ascii="宋体" w:hAnsi="宋体" w:cs="宋体"/>
          <w:color w:val="auto"/>
          <w:kern w:val="28"/>
        </w:rPr>
        <w:t>的现状和搬迁至新校区放置等整体情况。考察所发生的一切费用和安全由各供应商自己负责。</w:t>
      </w:r>
    </w:p>
    <w:p>
      <w:pPr>
        <w:widowControl/>
        <w:spacing w:line="360" w:lineRule="auto"/>
        <w:ind w:firstLine="420" w:firstLineChars="200"/>
        <w:rPr>
          <w:rFonts w:ascii="宋体" w:hAnsi="宋体" w:cs="宋体"/>
          <w:color w:val="auto"/>
          <w:kern w:val="28"/>
        </w:rPr>
      </w:pPr>
      <w:r>
        <w:rPr>
          <w:rFonts w:hint="eastAsia" w:ascii="宋体" w:hAnsi="宋体" w:cs="宋体"/>
          <w:color w:val="auto"/>
          <w:kern w:val="28"/>
        </w:rPr>
        <w:t>2.实地考察地点：广西南宁市西乡塘区陈西路45号广西南宁技师学院财经校区综合楼一楼集合。</w:t>
      </w:r>
    </w:p>
    <w:p>
      <w:pPr>
        <w:widowControl/>
        <w:spacing w:line="360" w:lineRule="auto"/>
        <w:ind w:firstLine="420" w:firstLineChars="200"/>
        <w:rPr>
          <w:rFonts w:ascii="宋体" w:hAnsi="宋体" w:cs="宋体"/>
          <w:color w:val="auto"/>
          <w:kern w:val="28"/>
        </w:rPr>
      </w:pPr>
      <w:r>
        <w:rPr>
          <w:rFonts w:hint="eastAsia" w:ascii="宋体" w:hAnsi="宋体" w:cs="宋体"/>
          <w:color w:val="auto"/>
          <w:kern w:val="28"/>
        </w:rPr>
        <w:t>3.现场查勘联系人及电话：胡老师 13517718627，梁老师13481183932</w:t>
      </w:r>
    </w:p>
    <w:p>
      <w:pPr>
        <w:widowControl/>
        <w:spacing w:line="360" w:lineRule="auto"/>
        <w:ind w:firstLine="420" w:firstLineChars="200"/>
        <w:rPr>
          <w:rFonts w:ascii="宋体" w:hAnsi="宋体" w:cs="宋体"/>
          <w:color w:val="auto"/>
          <w:kern w:val="28"/>
        </w:rPr>
      </w:pPr>
      <w:r>
        <w:rPr>
          <w:rFonts w:hint="eastAsia" w:ascii="宋体" w:hAnsi="宋体" w:cs="宋体"/>
          <w:color w:val="auto"/>
          <w:kern w:val="28"/>
        </w:rPr>
        <w:t>4.查勘集中时间：2025年9月</w:t>
      </w:r>
      <w:r>
        <w:rPr>
          <w:rFonts w:ascii="宋体" w:hAnsi="宋体" w:cs="宋体"/>
          <w:color w:val="auto"/>
          <w:kern w:val="28"/>
        </w:rPr>
        <w:t xml:space="preserve"> </w:t>
      </w:r>
      <w:r>
        <w:rPr>
          <w:rFonts w:hint="eastAsia" w:ascii="宋体" w:hAnsi="宋体" w:cs="宋体"/>
          <w:color w:val="auto"/>
          <w:kern w:val="28"/>
          <w:lang w:val="en-US" w:eastAsia="zh-CN"/>
        </w:rPr>
        <w:t>29</w:t>
      </w:r>
      <w:r>
        <w:rPr>
          <w:rFonts w:ascii="宋体" w:hAnsi="宋体" w:cs="宋体"/>
          <w:color w:val="auto"/>
          <w:kern w:val="28"/>
        </w:rPr>
        <w:t xml:space="preserve"> </w:t>
      </w:r>
      <w:r>
        <w:rPr>
          <w:rFonts w:hint="eastAsia" w:ascii="宋体" w:hAnsi="宋体" w:cs="宋体"/>
          <w:color w:val="auto"/>
          <w:kern w:val="28"/>
        </w:rPr>
        <w:t>日上午9：00，考察时间段为上午9：00—1</w:t>
      </w:r>
      <w:r>
        <w:rPr>
          <w:rFonts w:ascii="宋体" w:hAnsi="宋体" w:cs="宋体"/>
          <w:color w:val="auto"/>
          <w:kern w:val="28"/>
        </w:rPr>
        <w:t>2</w:t>
      </w:r>
      <w:r>
        <w:rPr>
          <w:rFonts w:hint="eastAsia" w:ascii="宋体" w:hAnsi="宋体" w:cs="宋体"/>
          <w:color w:val="auto"/>
          <w:kern w:val="28"/>
        </w:rPr>
        <w:t>：00，统一考察，过时不候。</w:t>
      </w:r>
    </w:p>
    <w:p>
      <w:pPr>
        <w:widowControl/>
        <w:spacing w:line="360" w:lineRule="auto"/>
        <w:ind w:firstLine="420" w:firstLineChars="200"/>
        <w:rPr>
          <w:rFonts w:ascii="宋体" w:hAnsi="宋体" w:cs="宋体"/>
          <w:kern w:val="28"/>
        </w:rPr>
      </w:pPr>
      <w:r>
        <w:rPr>
          <w:rFonts w:hint="eastAsia" w:ascii="宋体" w:hAnsi="宋体" w:cs="宋体"/>
          <w:kern w:val="28"/>
        </w:rPr>
        <w:t>5</w:t>
      </w:r>
      <w:r>
        <w:rPr>
          <w:rFonts w:ascii="宋体" w:hAnsi="宋体" w:cs="宋体"/>
          <w:kern w:val="28"/>
        </w:rPr>
        <w:t>.</w:t>
      </w:r>
      <w:r>
        <w:rPr>
          <w:rFonts w:ascii="宋体" w:hAnsi="宋体" w:cs="宋体"/>
          <w:b/>
          <w:kern w:val="28"/>
        </w:rPr>
        <w:t>投标人参加查勘时</w:t>
      </w:r>
      <w:r>
        <w:rPr>
          <w:rFonts w:hint="eastAsia" w:ascii="宋体" w:hAnsi="宋体" w:cs="宋体"/>
          <w:b/>
          <w:kern w:val="28"/>
        </w:rPr>
        <w:t>必须凭报名表（详见公告附件1）、单位营业执照复印件加盖公章、法人身份证及委托代理人身份证复印件加盖公章、授权委托书，被授权人报名时必须带上身份证原件现场核实。</w:t>
      </w:r>
    </w:p>
    <w:p>
      <w:pPr>
        <w:adjustRightInd w:val="0"/>
        <w:snapToGrid w:val="0"/>
        <w:spacing w:line="360" w:lineRule="auto"/>
        <w:ind w:firstLine="420" w:firstLineChars="200"/>
        <w:rPr>
          <w:rFonts w:ascii="宋体" w:hAnsi="宋体"/>
        </w:rPr>
      </w:pPr>
      <w:r>
        <w:rPr>
          <w:rFonts w:hint="eastAsia" w:ascii="宋体" w:hAnsi="宋体" w:cs="宋体"/>
        </w:rPr>
        <w:t>九、响应文件递交截止时间：</w:t>
      </w:r>
      <w:r>
        <w:rPr>
          <w:rFonts w:hint="eastAsia" w:ascii="宋体" w:hAnsi="宋体" w:cs="宋体"/>
          <w:color w:val="auto"/>
        </w:rPr>
        <w:t>2025年</w:t>
      </w:r>
      <w:r>
        <w:rPr>
          <w:rFonts w:ascii="宋体" w:hAnsi="宋体" w:cs="宋体"/>
          <w:color w:val="auto"/>
        </w:rPr>
        <w:t xml:space="preserve"> </w:t>
      </w:r>
      <w:r>
        <w:rPr>
          <w:rFonts w:hint="eastAsia" w:ascii="宋体" w:hAnsi="宋体" w:cs="宋体"/>
          <w:color w:val="auto"/>
          <w:lang w:val="en-US" w:eastAsia="zh-CN"/>
        </w:rPr>
        <w:t>9</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lang w:val="en-US" w:eastAsia="zh-CN"/>
        </w:rPr>
        <w:t>30</w:t>
      </w:r>
      <w:r>
        <w:rPr>
          <w:rFonts w:ascii="宋体" w:hAnsi="宋体" w:cs="宋体"/>
          <w:color w:val="auto"/>
        </w:rPr>
        <w:t xml:space="preserve"> </w:t>
      </w:r>
      <w:r>
        <w:rPr>
          <w:rFonts w:hint="eastAsia" w:ascii="宋体" w:hAnsi="宋体" w:cs="宋体"/>
          <w:color w:val="auto"/>
        </w:rPr>
        <w:t>日上午</w:t>
      </w:r>
      <w:r>
        <w:rPr>
          <w:rFonts w:ascii="宋体" w:hAnsi="宋体" w:cs="宋体"/>
          <w:color w:val="auto"/>
        </w:rPr>
        <w:t>1</w:t>
      </w:r>
      <w:r>
        <w:rPr>
          <w:rFonts w:hint="eastAsia" w:ascii="宋体" w:hAnsi="宋体" w:cs="宋体"/>
          <w:color w:val="auto"/>
          <w:lang w:val="en-US" w:eastAsia="zh-CN"/>
        </w:rPr>
        <w:t>2</w:t>
      </w:r>
      <w:r>
        <w:rPr>
          <w:rFonts w:ascii="宋体" w:hAnsi="宋体" w:cs="宋体"/>
          <w:color w:val="auto"/>
        </w:rPr>
        <w:t>:</w:t>
      </w:r>
      <w:r>
        <w:rPr>
          <w:rFonts w:hint="eastAsia" w:ascii="宋体" w:hAnsi="宋体" w:cs="宋体"/>
          <w:color w:val="auto"/>
          <w:lang w:val="en-US" w:eastAsia="zh-CN"/>
        </w:rPr>
        <w:t>0</w:t>
      </w:r>
      <w:r>
        <w:rPr>
          <w:rFonts w:ascii="宋体" w:hAnsi="宋体" w:cs="宋体"/>
          <w:color w:val="auto"/>
        </w:rPr>
        <w:t>0</w:t>
      </w:r>
      <w:r>
        <w:rPr>
          <w:rFonts w:hint="eastAsia" w:ascii="宋体" w:hAnsi="宋体" w:cs="宋体"/>
          <w:color w:val="auto"/>
        </w:rPr>
        <w:t>。</w:t>
      </w:r>
    </w:p>
    <w:p>
      <w:pPr>
        <w:adjustRightInd w:val="0"/>
        <w:snapToGrid w:val="0"/>
        <w:spacing w:line="360" w:lineRule="auto"/>
        <w:ind w:firstLine="420" w:firstLineChars="200"/>
        <w:rPr>
          <w:rFonts w:ascii="宋体" w:hAnsi="宋体"/>
        </w:rPr>
      </w:pPr>
      <w:r>
        <w:rPr>
          <w:rFonts w:hint="eastAsia" w:ascii="宋体" w:hAnsi="宋体" w:cs="宋体"/>
        </w:rPr>
        <w:t>十、响应文件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十一、联系事项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联系人：杨老师，联系电话：07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1050" w:firstLine="420" w:firstLineChars="200"/>
        <w:jc w:val="right"/>
        <w:rPr>
          <w:rFonts w:ascii="宋体" w:hAnsi="宋体"/>
        </w:rPr>
      </w:pPr>
      <w:r>
        <w:rPr>
          <w:rFonts w:hint="eastAsia" w:ascii="宋体" w:hAnsi="宋体" w:cs="宋体"/>
        </w:rPr>
        <w:t>发布时间</w:t>
      </w:r>
      <w:r>
        <w:rPr>
          <w:rFonts w:hint="eastAsia" w:ascii="宋体" w:hAnsi="宋体" w:cs="宋体"/>
          <w:color w:val="auto"/>
        </w:rPr>
        <w:t>：</w:t>
      </w:r>
      <w:r>
        <w:rPr>
          <w:rFonts w:hint="eastAsia" w:ascii="宋体" w:hAnsi="宋体"/>
          <w:color w:val="auto"/>
        </w:rPr>
        <w:t>2025年9月</w:t>
      </w:r>
      <w:r>
        <w:rPr>
          <w:rFonts w:ascii="宋体" w:hAnsi="宋体"/>
          <w:color w:val="auto"/>
        </w:rPr>
        <w:t xml:space="preserve"> </w:t>
      </w:r>
      <w:r>
        <w:rPr>
          <w:rFonts w:hint="eastAsia" w:ascii="宋体" w:hAnsi="宋体"/>
          <w:color w:val="auto"/>
          <w:lang w:val="en-US" w:eastAsia="zh-CN"/>
        </w:rPr>
        <w:t>26</w:t>
      </w:r>
      <w:r>
        <w:rPr>
          <w:rFonts w:ascii="宋体" w:hAnsi="宋体"/>
          <w:color w:val="auto"/>
        </w:rPr>
        <w:t xml:space="preserve"> </w:t>
      </w:r>
      <w:r>
        <w:rPr>
          <w:rFonts w:hint="eastAsia" w:ascii="宋体" w:hAnsi="宋体"/>
          <w:color w:val="auto"/>
        </w:rPr>
        <w:t>日</w:t>
      </w: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
        <w:jc w:val="center"/>
        <w:rPr>
          <w:sz w:val="36"/>
          <w:szCs w:val="36"/>
        </w:rPr>
      </w:pPr>
      <w:bookmarkStart w:id="3" w:name="_Toc10615"/>
      <w:bookmarkStart w:id="4" w:name="_Toc23927923"/>
      <w:r>
        <w:rPr>
          <w:rFonts w:hint="eastAsia"/>
          <w:sz w:val="36"/>
          <w:szCs w:val="36"/>
        </w:rPr>
        <w:t>第二章　采购需求书</w:t>
      </w:r>
      <w:bookmarkEnd w:id="3"/>
    </w:p>
    <w:p>
      <w:pPr>
        <w:tabs>
          <w:tab w:val="left" w:pos="425"/>
        </w:tabs>
        <w:adjustRightInd w:val="0"/>
        <w:snapToGrid w:val="0"/>
        <w:spacing w:line="400" w:lineRule="exact"/>
        <w:ind w:firstLine="422" w:firstLineChars="200"/>
        <w:rPr>
          <w:rFonts w:ascii="宋体" w:hAnsi="宋体" w:cs="宋体"/>
          <w:b/>
          <w:bCs/>
          <w:u w:val="double"/>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560" w:lineRule="exact"/>
        <w:ind w:firstLine="422" w:firstLineChars="200"/>
        <w:rPr>
          <w:rFonts w:ascii="宋体" w:hAnsi="宋体"/>
          <w:b/>
          <w:bCs/>
          <w:u w:val="double"/>
        </w:rPr>
      </w:pPr>
      <w:r>
        <w:rPr>
          <w:rFonts w:hint="eastAsia" w:ascii="宋体" w:hAnsi="宋体" w:cs="宋体"/>
          <w:b/>
          <w:bCs/>
          <w:u w:val="double"/>
        </w:rPr>
        <w:t>本项目最高限价为人民币</w:t>
      </w:r>
      <w:r>
        <w:rPr>
          <w:rFonts w:hint="eastAsia" w:ascii="宋体" w:hAnsi="宋体" w:cs="宋体"/>
          <w:b/>
          <w:bCs/>
          <w:color w:val="auto"/>
          <w:u w:val="double"/>
        </w:rPr>
        <w:t>贰拾万伍仟捌佰零壹元整（￥205801</w:t>
      </w:r>
      <w:r>
        <w:rPr>
          <w:rFonts w:ascii="宋体" w:hAnsi="宋体" w:cs="宋体"/>
          <w:b/>
          <w:bCs/>
          <w:color w:val="auto"/>
          <w:u w:val="double"/>
        </w:rPr>
        <w:t>.00</w:t>
      </w:r>
      <w:r>
        <w:rPr>
          <w:rFonts w:hint="eastAsia" w:ascii="宋体" w:hAnsi="宋体" w:cs="宋体"/>
          <w:b/>
          <w:bCs/>
          <w:color w:val="auto"/>
          <w:u w:val="double"/>
        </w:rPr>
        <w:t>元）</w:t>
      </w:r>
      <w:r>
        <w:rPr>
          <w:rFonts w:hint="eastAsia" w:ascii="宋体" w:hAnsi="宋体" w:cs="宋体"/>
          <w:b/>
          <w:bCs/>
          <w:u w:val="double"/>
        </w:rPr>
        <w:t>，供应商的总报价不得超出其最高限价，否则视为无效投标。</w:t>
      </w:r>
    </w:p>
    <w:p>
      <w:pPr>
        <w:widowControl/>
        <w:tabs>
          <w:tab w:val="left" w:pos="424"/>
        </w:tabs>
        <w:spacing w:line="560" w:lineRule="exact"/>
        <w:ind w:firstLine="420" w:firstLineChars="200"/>
        <w:jc w:val="left"/>
        <w:rPr>
          <w:rFonts w:ascii="宋体" w:cs="宋体"/>
        </w:rPr>
      </w:pPr>
      <w:r>
        <w:rPr>
          <w:rFonts w:hint="eastAsia" w:ascii="宋体" w:cs="宋体"/>
        </w:rPr>
        <w:t>1、供应商须对本项目的货物及服务进行整体响应，任何只对项目其中一部分内容进行的响应都被视为无效投标。</w:t>
      </w:r>
    </w:p>
    <w:p>
      <w:pPr>
        <w:widowControl/>
        <w:tabs>
          <w:tab w:val="left" w:pos="424"/>
        </w:tabs>
        <w:spacing w:line="560" w:lineRule="exact"/>
        <w:ind w:firstLine="420" w:firstLineChars="200"/>
        <w:jc w:val="left"/>
        <w:rPr>
          <w:rFonts w:ascii="宋体" w:cs="宋体"/>
        </w:rPr>
      </w:pPr>
      <w:r>
        <w:rPr>
          <w:rFonts w:hint="eastAsia" w:ascii="宋体" w:cs="宋体"/>
        </w:rPr>
        <w:t>2、采购需求书中打“▲”号条款为实质性条款，供应商如有任何一条负偏离则导致投标无效。</w:t>
      </w:r>
    </w:p>
    <w:p>
      <w:pPr>
        <w:widowControl/>
        <w:tabs>
          <w:tab w:val="left" w:pos="420"/>
        </w:tabs>
        <w:spacing w:line="560" w:lineRule="exact"/>
        <w:ind w:firstLine="420" w:firstLineChars="200"/>
        <w:jc w:val="left"/>
      </w:pPr>
      <w:r>
        <w:rPr>
          <w:rFonts w:hint="eastAsia" w:ascii="宋体"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pPr>
        <w:snapToGrid w:val="0"/>
        <w:spacing w:line="560" w:lineRule="exact"/>
        <w:ind w:firstLine="420" w:firstLineChars="200"/>
        <w:rPr>
          <w:rFonts w:ascii="宋体" w:cs="宋体"/>
          <w:bCs/>
          <w:szCs w:val="20"/>
        </w:rPr>
      </w:pPr>
      <w:r>
        <w:rPr>
          <w:rFonts w:hint="eastAsia" w:ascii="宋体" w:cs="宋体"/>
          <w:bCs/>
          <w:szCs w:val="20"/>
        </w:rPr>
        <w:t>1、采购内容：详见“四、采购清单”；</w:t>
      </w:r>
    </w:p>
    <w:p>
      <w:pPr>
        <w:snapToGrid w:val="0"/>
        <w:spacing w:line="560" w:lineRule="exact"/>
        <w:ind w:firstLine="420" w:firstLineChars="200"/>
        <w:rPr>
          <w:rFonts w:ascii="宋体" w:cs="宋体"/>
          <w:bCs/>
          <w:szCs w:val="20"/>
        </w:rPr>
      </w:pPr>
      <w:r>
        <w:rPr>
          <w:rFonts w:hint="eastAsia" w:ascii="宋体" w:cs="宋体"/>
          <w:bCs/>
          <w:szCs w:val="20"/>
        </w:rPr>
        <w:t>2、采购数量：详见“四、采购清单”；</w:t>
      </w:r>
    </w:p>
    <w:p>
      <w:pPr>
        <w:snapToGrid w:val="0"/>
        <w:spacing w:line="560" w:lineRule="exact"/>
        <w:ind w:firstLine="420" w:firstLineChars="200"/>
        <w:rPr>
          <w:rFonts w:ascii="宋体" w:cs="宋体"/>
          <w:bCs/>
          <w:szCs w:val="20"/>
        </w:rPr>
      </w:pPr>
      <w:r>
        <w:rPr>
          <w:rFonts w:hint="eastAsia" w:ascii="宋体" w:cs="宋体"/>
          <w:bCs/>
          <w:szCs w:val="20"/>
        </w:rPr>
        <w:t>3、采购要求：详见“五、商务要求”；</w:t>
      </w:r>
    </w:p>
    <w:p>
      <w:pPr>
        <w:snapToGrid w:val="0"/>
        <w:spacing w:line="560" w:lineRule="exact"/>
        <w:ind w:firstLine="420" w:firstLineChars="200"/>
        <w:rPr>
          <w:rFonts w:ascii="宋体" w:cs="宋体"/>
          <w:bCs/>
          <w:color w:val="auto"/>
          <w:szCs w:val="20"/>
        </w:rPr>
      </w:pPr>
      <w:r>
        <w:rPr>
          <w:rFonts w:ascii="宋体" w:cs="宋体"/>
          <w:bCs/>
          <w:szCs w:val="20"/>
        </w:rPr>
        <w:t>4</w:t>
      </w:r>
      <w:r>
        <w:rPr>
          <w:rFonts w:hint="eastAsia" w:ascii="宋体" w:cs="宋体"/>
          <w:bCs/>
          <w:szCs w:val="20"/>
        </w:rPr>
        <w:t>、</w:t>
      </w:r>
      <w:r>
        <w:rPr>
          <w:rFonts w:ascii="宋体" w:cs="宋体"/>
          <w:bCs/>
          <w:szCs w:val="20"/>
        </w:rPr>
        <w:t>采购</w:t>
      </w:r>
      <w:r>
        <w:rPr>
          <w:rFonts w:hint="eastAsia" w:ascii="宋体" w:cs="宋体"/>
          <w:bCs/>
          <w:szCs w:val="20"/>
        </w:rPr>
        <w:t>预算金额：</w:t>
      </w:r>
      <w:r>
        <w:rPr>
          <w:rFonts w:hint="eastAsia" w:ascii="宋体" w:cs="宋体"/>
          <w:bCs/>
          <w:color w:val="auto"/>
          <w:szCs w:val="20"/>
        </w:rPr>
        <w:t>人民币</w:t>
      </w:r>
      <w:r>
        <w:rPr>
          <w:rFonts w:hint="eastAsia" w:ascii="宋体" w:cs="宋体"/>
          <w:b/>
          <w:bCs/>
          <w:color w:val="auto"/>
          <w:szCs w:val="20"/>
        </w:rPr>
        <w:t>贰拾万伍仟捌佰零壹元整（￥205801.00元）</w:t>
      </w:r>
      <w:r>
        <w:rPr>
          <w:rFonts w:hint="eastAsia" w:ascii="宋体" w:cs="宋体"/>
          <w:bCs/>
          <w:color w:val="auto"/>
          <w:szCs w:val="20"/>
        </w:rPr>
        <w:t>（供应商报价超过预算金额将按无效投标处理）。</w:t>
      </w:r>
    </w:p>
    <w:p>
      <w:pPr>
        <w:tabs>
          <w:tab w:val="left" w:pos="420"/>
          <w:tab w:val="left" w:pos="540"/>
          <w:tab w:val="left" w:pos="574"/>
        </w:tabs>
        <w:spacing w:line="560" w:lineRule="exact"/>
        <w:ind w:left="420"/>
        <w:outlineLvl w:val="0"/>
        <w:rPr>
          <w:rFonts w:ascii="宋体" w:hAnsi="宋体" w:cs="宋体"/>
          <w:b/>
          <w:bCs/>
          <w:color w:val="auto"/>
        </w:rPr>
      </w:pPr>
      <w:r>
        <w:rPr>
          <w:rFonts w:ascii="宋体" w:hAnsi="宋体" w:cs="宋体"/>
          <w:b/>
          <w:bCs/>
          <w:color w:val="auto"/>
        </w:rPr>
        <w:t>三、</w:t>
      </w:r>
      <w:r>
        <w:rPr>
          <w:rFonts w:hint="eastAsia" w:ascii="宋体" w:hAnsi="宋体" w:cs="宋体"/>
          <w:b/>
          <w:bCs/>
          <w:color w:val="auto"/>
        </w:rPr>
        <w:t>项目概况</w:t>
      </w:r>
    </w:p>
    <w:p>
      <w:pPr>
        <w:widowControl/>
        <w:tabs>
          <w:tab w:val="left" w:pos="424"/>
        </w:tabs>
        <w:spacing w:line="560" w:lineRule="exact"/>
        <w:ind w:firstLine="420" w:firstLineChars="200"/>
        <w:jc w:val="left"/>
        <w:rPr>
          <w:rFonts w:hAnsi="宋体"/>
          <w:color w:val="auto"/>
          <w:kern w:val="28"/>
        </w:rPr>
      </w:pPr>
      <w:r>
        <w:rPr>
          <w:rFonts w:hint="eastAsia" w:ascii="宋体" w:cs="宋体"/>
          <w:color w:val="auto"/>
        </w:rPr>
        <w:t>1、本次招标项目范围：</w:t>
      </w:r>
      <w:r>
        <w:rPr>
          <w:rFonts w:hint="eastAsia" w:ascii="宋体" w:hAnsi="宋体" w:cs="宋体"/>
          <w:color w:val="auto"/>
          <w:kern w:val="28"/>
        </w:rPr>
        <w:t>广西南宁技师学院搬迁财经校区固定资产等物资到新校区项目</w:t>
      </w:r>
      <w:r>
        <w:rPr>
          <w:rFonts w:hint="eastAsia" w:ascii="宋体" w:cs="宋体"/>
          <w:bCs/>
          <w:color w:val="auto"/>
          <w:szCs w:val="20"/>
        </w:rPr>
        <w:t>。</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2、本项目的总报价应包括：标的物、运费、保管、调试、验收、保修、税费(包括关税、增值税等)、仓储费、资料、质保期等的全部费用；采购人不再承担任何费用。</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3、成交供应商承担及负责询价文件规定应由成交供应商负责的一切事宜及责任，包括项目货物供货、包装、运输、保管、验收及相关服务等。</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4、除非征得采购人同意外，成交供应商不得以任何方式转包或分包本项目。</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5、供应商应提供已注册品牌制造商原装、全新的、符合国家及用户提出的有关质量标准的货物。</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6、所有货物在开箱检验时必须完好，无破损，配置与装箱单相符，数量、质量及性能不低于本采购需求书中提出的要求。</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7、货物外观清洁，标记编号以及盘面显示等字体清晰，明确能够准确无误地表示货物的型号、规格、制造商。</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8、供应商在供货时，应提供货物清</w:t>
      </w:r>
      <w:bookmarkStart w:id="99" w:name="_GoBack"/>
      <w:bookmarkEnd w:id="99"/>
      <w:r>
        <w:rPr>
          <w:rFonts w:hint="eastAsia" w:ascii="宋体" w:cs="宋体"/>
        </w:rPr>
        <w:t>单，若被发现提供的货物未能达到询价文件和报价文件中的有关要求，采购人有权拒绝验收。</w:t>
      </w:r>
    </w:p>
    <w:p>
      <w:pPr>
        <w:tabs>
          <w:tab w:val="left" w:pos="420"/>
          <w:tab w:val="left" w:pos="540"/>
          <w:tab w:val="left" w:pos="574"/>
        </w:tabs>
        <w:spacing w:line="560" w:lineRule="exact"/>
        <w:ind w:firstLine="420" w:firstLineChars="200"/>
        <w:outlineLvl w:val="0"/>
        <w:rPr>
          <w:rFonts w:ascii="宋体" w:cs="宋体"/>
        </w:rPr>
      </w:pPr>
      <w:r>
        <w:rPr>
          <w:rFonts w:hint="eastAsia" w:ascii="宋体" w:cs="宋体"/>
        </w:rPr>
        <w:t>9、本次投标应为包供货、包装、运输及售后服务的全部内容，成交供应商不得以任何理由向采购人加收其他任何费用。</w:t>
      </w:r>
    </w:p>
    <w:p>
      <w:pPr>
        <w:tabs>
          <w:tab w:val="left" w:pos="420"/>
          <w:tab w:val="left" w:pos="540"/>
          <w:tab w:val="left" w:pos="574"/>
        </w:tabs>
        <w:spacing w:line="360" w:lineRule="auto"/>
        <w:ind w:firstLine="210" w:firstLineChars="100"/>
        <w:outlineLvl w:val="0"/>
        <w:rPr>
          <w:rFonts w:ascii="宋体" w:hAnsi="宋体" w:cs="宋体"/>
          <w:b/>
          <w:bCs/>
        </w:rPr>
      </w:pPr>
      <w:bookmarkStart w:id="6" w:name="_Toc32285"/>
      <w:r>
        <w:rPr>
          <w:rFonts w:hint="eastAsia"/>
        </w:rPr>
        <w:t>▲</w:t>
      </w:r>
      <w:r>
        <w:rPr>
          <w:rFonts w:ascii="宋体" w:hAnsi="宋体" w:cs="宋体"/>
          <w:b/>
          <w:bCs/>
        </w:rPr>
        <w:t>四、</w:t>
      </w:r>
      <w:r>
        <w:rPr>
          <w:rFonts w:hint="eastAsia" w:ascii="宋体" w:hAnsi="宋体" w:cs="宋体"/>
          <w:b/>
          <w:bCs/>
        </w:rPr>
        <w:t>搬迁设备清单</w:t>
      </w:r>
      <w:bookmarkEnd w:id="6"/>
    </w:p>
    <w:p>
      <w:pPr>
        <w:rPr>
          <w:rFonts w:ascii="宋体"/>
          <w:b/>
          <w:bCs/>
        </w:rPr>
      </w:pPr>
    </w:p>
    <w:p>
      <w:pPr>
        <w:widowControl/>
        <w:jc w:val="left"/>
        <w:rPr>
          <w:rFonts w:ascii="宋体" w:hAnsi="Arial" w:eastAsia="黑体" w:cs="Arial"/>
          <w:b/>
          <w:bCs/>
          <w:sz w:val="32"/>
          <w:szCs w:val="32"/>
        </w:rPr>
      </w:pPr>
      <w:r>
        <w:rPr>
          <w:rFonts w:ascii="宋体"/>
        </w:rPr>
        <w:br w:type="page"/>
      </w:r>
    </w:p>
    <w:p>
      <w:pPr>
        <w:pStyle w:val="2"/>
        <w:rPr>
          <w:rFonts w:ascii="宋体"/>
        </w:rPr>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pPr>
    </w:p>
    <w:tbl>
      <w:tblPr>
        <w:tblStyle w:val="35"/>
        <w:tblW w:w="13623" w:type="dxa"/>
        <w:tblInd w:w="93" w:type="dxa"/>
        <w:tblLayout w:type="fixed"/>
        <w:tblCellMar>
          <w:top w:w="0" w:type="dxa"/>
          <w:left w:w="108" w:type="dxa"/>
          <w:bottom w:w="0" w:type="dxa"/>
          <w:right w:w="108" w:type="dxa"/>
        </w:tblCellMar>
      </w:tblPr>
      <w:tblGrid>
        <w:gridCol w:w="1008"/>
        <w:gridCol w:w="1412"/>
        <w:gridCol w:w="1660"/>
        <w:gridCol w:w="755"/>
        <w:gridCol w:w="709"/>
        <w:gridCol w:w="2268"/>
        <w:gridCol w:w="2976"/>
        <w:gridCol w:w="2835"/>
      </w:tblGrid>
      <w:tr>
        <w:tblPrEx>
          <w:tblCellMar>
            <w:top w:w="0" w:type="dxa"/>
            <w:left w:w="108" w:type="dxa"/>
            <w:bottom w:w="0" w:type="dxa"/>
            <w:right w:w="108" w:type="dxa"/>
          </w:tblCellMar>
        </w:tblPrEx>
        <w:trPr>
          <w:trHeight w:val="133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序号</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项目内容</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规格/型号</w:t>
            </w:r>
            <w:r>
              <w:rPr>
                <w:rFonts w:hint="eastAsia"/>
                <w:b/>
                <w:bCs/>
                <w:color w:val="000000"/>
                <w:sz w:val="22"/>
                <w:szCs w:val="22"/>
              </w:rPr>
              <w:br w:type="textWrapping"/>
            </w:r>
            <w:r>
              <w:rPr>
                <w:rFonts w:hint="eastAsia"/>
                <w:b/>
                <w:bCs/>
                <w:color w:val="000000"/>
                <w:sz w:val="22"/>
                <w:szCs w:val="22"/>
              </w:rPr>
              <w:t>（服务内容）</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单位</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旧校区原存放地点</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搬至新校区存放地点</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sz w:val="22"/>
                <w:szCs w:val="22"/>
              </w:rPr>
            </w:pPr>
            <w:r>
              <w:rPr>
                <w:rFonts w:hint="eastAsia"/>
                <w:b/>
                <w:bCs/>
                <w:color w:val="000000"/>
                <w:sz w:val="22"/>
                <w:szCs w:val="22"/>
              </w:rPr>
              <w:t>备注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空调</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财经校区体育器材室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新校区篮球馆东1门旁体育器材室</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1.5匹挂式空调，需提供拆卸、搬运、安装及布线服务</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跳高垫</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财经校区体育器材室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新校区篮球馆东1门旁的体育器材室</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搬运至指定地点</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跳高垫</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财经校区体育器材室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新校区篮球馆东1门旁的体育器材室</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color w:val="000000"/>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独臂移动篮球架</w:t>
            </w:r>
          </w:p>
        </w:tc>
        <w:tc>
          <w:tcPr>
            <w:tcW w:w="16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独臂移动篮球架</w:t>
            </w:r>
          </w:p>
        </w:tc>
        <w:tc>
          <w:tcPr>
            <w:tcW w:w="16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四用重锤升降移动排、气、羽、网球柱</w:t>
            </w:r>
          </w:p>
        </w:tc>
        <w:tc>
          <w:tcPr>
            <w:tcW w:w="16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乒乓球桌</w:t>
            </w:r>
          </w:p>
        </w:tc>
        <w:tc>
          <w:tcPr>
            <w:tcW w:w="16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乒乓球桌</w:t>
            </w:r>
          </w:p>
        </w:tc>
        <w:tc>
          <w:tcPr>
            <w:tcW w:w="16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固定单柱式篮球架</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对</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南技校区食堂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自制乒乓球台</w:t>
            </w:r>
          </w:p>
        </w:tc>
        <w:tc>
          <w:tcPr>
            <w:tcW w:w="166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张</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南技校区食堂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高杆绣球架</w:t>
            </w:r>
          </w:p>
        </w:tc>
        <w:tc>
          <w:tcPr>
            <w:tcW w:w="16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副</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新校区田径场</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羽毛球柱</w:t>
            </w:r>
          </w:p>
        </w:tc>
        <w:tc>
          <w:tcPr>
            <w:tcW w:w="166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副</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新校区综合楼后面的健身场地</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气排球柱</w:t>
            </w:r>
          </w:p>
        </w:tc>
        <w:tc>
          <w:tcPr>
            <w:tcW w:w="1660" w:type="dxa"/>
            <w:tcBorders>
              <w:top w:val="nil"/>
              <w:left w:val="nil"/>
              <w:bottom w:val="nil"/>
              <w:right w:val="nil"/>
            </w:tcBorders>
            <w:shd w:val="clear" w:color="auto" w:fill="auto"/>
            <w:noWrap/>
            <w:vAlign w:val="center"/>
          </w:tcPr>
          <w:p>
            <w:pPr>
              <w:jc w:val="center"/>
              <w:rPr>
                <w:rFonts w:ascii="宋体" w:hAnsi="宋体" w:cs="宋体"/>
                <w:color w:val="000000"/>
                <w:sz w:val="20"/>
                <w:szCs w:val="20"/>
              </w:rPr>
            </w:pPr>
          </w:p>
        </w:tc>
        <w:tc>
          <w:tcPr>
            <w:tcW w:w="75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副</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财经校区篮球场旁</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新校区综合楼后面的健身场地</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拆卸、搬运</w:t>
            </w:r>
          </w:p>
        </w:tc>
      </w:tr>
      <w:tr>
        <w:tblPrEx>
          <w:tblCellMar>
            <w:top w:w="0" w:type="dxa"/>
            <w:left w:w="108" w:type="dxa"/>
            <w:bottom w:w="0" w:type="dxa"/>
            <w:right w:w="108" w:type="dxa"/>
          </w:tblCellMar>
        </w:tblPrEx>
        <w:trPr>
          <w:trHeight w:val="151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电脑搬迁</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新校区综合楼806</w:t>
            </w:r>
          </w:p>
        </w:tc>
        <w:tc>
          <w:tcPr>
            <w:tcW w:w="2835" w:type="dxa"/>
            <w:tcBorders>
              <w:top w:val="nil"/>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1.将原先806机房电脑搬出至指定地点（新校区内）；</w:t>
            </w:r>
          </w:p>
          <w:p>
            <w:pPr>
              <w:jc w:val="center"/>
              <w:rPr>
                <w:rFonts w:ascii="宋体" w:hAnsi="宋体" w:cs="宋体"/>
                <w:sz w:val="20"/>
                <w:szCs w:val="20"/>
              </w:rPr>
            </w:pPr>
            <w:r>
              <w:rPr>
                <w:rFonts w:hint="eastAsia"/>
                <w:sz w:val="20"/>
                <w:szCs w:val="20"/>
              </w:rPr>
              <w:t>2.财经302机房电脑拆装、搬运、安装、调试至正常使用</w:t>
            </w:r>
          </w:p>
        </w:tc>
      </w:tr>
      <w:tr>
        <w:tblPrEx>
          <w:tblCellMar>
            <w:top w:w="0" w:type="dxa"/>
            <w:left w:w="108" w:type="dxa"/>
            <w:bottom w:w="0" w:type="dxa"/>
            <w:right w:w="108" w:type="dxa"/>
          </w:tblCellMar>
        </w:tblPrEx>
        <w:trPr>
          <w:trHeight w:val="150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电脑桌椅搬迁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桌子：南技校区饭堂</w:t>
            </w:r>
            <w:r>
              <w:rPr>
                <w:rFonts w:hint="eastAsia"/>
                <w:sz w:val="20"/>
                <w:szCs w:val="20"/>
              </w:rPr>
              <w:br w:type="textWrapping"/>
            </w:r>
            <w:r>
              <w:rPr>
                <w:rFonts w:hint="eastAsia"/>
                <w:sz w:val="20"/>
                <w:szCs w:val="20"/>
              </w:rPr>
              <w:t>椅子：新校区综合楼805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机柜搬迁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新校区综合楼806</w:t>
            </w:r>
          </w:p>
        </w:tc>
        <w:tc>
          <w:tcPr>
            <w:tcW w:w="2835"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搬运并根据机房现场布置、布线、安装调试</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空调搬迁</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财经校区302机房</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新校区弘心楼410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搬运并根据实训室现场布置、布线、安装调试至正常使用（含辅材）</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空调搬迁</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财经校区303机房</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新校区弘心楼409</w:t>
            </w:r>
          </w:p>
        </w:tc>
        <w:tc>
          <w:tcPr>
            <w:tcW w:w="2835"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搬运并根据实训室现场布置、布线、安装调试至正常使用（含辅材）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财经校区303机房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新校区综合楼1006</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从财经搬迁至新校区图书馆二楼指定位置</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电脑桌椅搬迁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财经校区303机房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新校区综合楼1006</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投影仪、推拉黑板、白板搬迁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电脑桌椅搬迁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铁柜搬迁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1725"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电脑搬迁</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67</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财经校区501机房</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1.将原先805机房电脑、椅子搬出至指定地点（新校区内）；</w:t>
            </w:r>
            <w:r>
              <w:rPr>
                <w:rFonts w:hint="eastAsia"/>
                <w:sz w:val="20"/>
                <w:szCs w:val="20"/>
              </w:rPr>
              <w:br w:type="textWrapping"/>
            </w:r>
            <w:r>
              <w:rPr>
                <w:rFonts w:hint="eastAsia"/>
                <w:sz w:val="20"/>
                <w:szCs w:val="20"/>
              </w:rPr>
              <w:t>2.财经501机房电脑、椅子拆装、搬运、安装、调试至正常使用</w:t>
            </w:r>
          </w:p>
        </w:tc>
      </w:tr>
      <w:tr>
        <w:tblPrEx>
          <w:tblCellMar>
            <w:top w:w="0" w:type="dxa"/>
            <w:left w:w="108" w:type="dxa"/>
            <w:bottom w:w="0" w:type="dxa"/>
            <w:right w:w="108" w:type="dxa"/>
          </w:tblCellMar>
        </w:tblPrEx>
        <w:trPr>
          <w:trHeight w:val="1515"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电脑桌椅搬迁</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33</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财经校区501机房</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新校区综合楼805</w:t>
            </w:r>
          </w:p>
        </w:tc>
        <w:tc>
          <w:tcPr>
            <w:tcW w:w="2835" w:type="dxa"/>
            <w:tcBorders>
              <w:top w:val="single" w:color="auto" w:sz="4" w:space="0"/>
              <w:left w:val="nil"/>
              <w:bottom w:val="single" w:color="auto" w:sz="4" w:space="0"/>
              <w:right w:val="single" w:color="auto" w:sz="4" w:space="0"/>
            </w:tcBorders>
            <w:shd w:val="clear" w:color="auto" w:fill="auto"/>
            <w:vAlign w:val="center"/>
          </w:tcPr>
          <w:p>
            <w:pPr>
              <w:rPr>
                <w:sz w:val="20"/>
                <w:szCs w:val="20"/>
              </w:rPr>
            </w:pPr>
            <w:r>
              <w:rPr>
                <w:rFonts w:hint="eastAsia"/>
                <w:sz w:val="20"/>
                <w:szCs w:val="20"/>
              </w:rPr>
              <w:t>1.椅子搬迁至新校区综合楼805；</w:t>
            </w:r>
          </w:p>
          <w:p>
            <w:pPr>
              <w:rPr>
                <w:rFonts w:ascii="宋体" w:hAnsi="宋体" w:cs="宋体"/>
                <w:sz w:val="20"/>
                <w:szCs w:val="20"/>
              </w:rPr>
            </w:pPr>
            <w:r>
              <w:rPr>
                <w:rFonts w:hint="eastAsia"/>
                <w:sz w:val="20"/>
                <w:szCs w:val="20"/>
              </w:rPr>
              <w:t>2.桌子搬迁至新校区图书馆二楼暂存</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机柜搬迁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财经校区501机房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新校区综合楼805</w:t>
            </w:r>
          </w:p>
        </w:tc>
        <w:tc>
          <w:tcPr>
            <w:tcW w:w="2835"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搬运并根据机房现场布置、布线、安装调试至正常使用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财经校区501机房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新校区弘心楼410</w:t>
            </w:r>
          </w:p>
        </w:tc>
        <w:tc>
          <w:tcPr>
            <w:tcW w:w="2835"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搬运并根据实训室现场布置、布线、安装调试、加雪种至正常使用（含辅材）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交互平板一体机搬迁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财经校区二层办公楼204茶艺室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新校区弘心楼4楼408</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拆卸、搬运、安装</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茶艺桌搬迁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财经校区二层办公楼204茶艺室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新校区综合楼1002</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拆卸、搬运、安装</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茶艺凳搬迁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财经校区二层办公楼204茶艺室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茶艺方桌搬迁</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财经校区二层办公楼204茶艺室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铁皮文件柜搬迁</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财经校区二层办公楼204茶艺室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冰柜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财经校区二层办公楼204茶艺室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茶具茶叶搬迁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财经校区二层办公楼204茶艺室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城轨专业耗材搬迁1</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财经校区城轨实训室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新校区弘心楼4楼409</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城轨比赛耗材搬迁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财经校区红楼一楼教务科2旁边的楼梯间</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新校区弘心楼4楼409</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电动幕</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从财经搬迁至新校区图书馆二楼指定位置</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音箱</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一体机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教务科5</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多功能一体机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44</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学生操作终端（电脑）</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45</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书架</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创意桌椅</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展柜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财经校区综合楼3楼会议室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绿幕</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白板</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短焦投影机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绿幕</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直播声卡</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麦克风</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54</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折叠补光灯</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9</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55</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环形灯</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电脑桌椅+讲台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电动幕</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投影机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音响</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路由器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服务器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展示桌</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64</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云呼叫教室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65</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保险柜式电子防潮箱</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14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电脑桌</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1.暂存新校区图书馆2楼指定地点；</w:t>
            </w:r>
            <w:r>
              <w:rPr>
                <w:rFonts w:hint="eastAsia"/>
                <w:sz w:val="20"/>
                <w:szCs w:val="20"/>
              </w:rPr>
              <w:br w:type="textWrapping"/>
            </w:r>
            <w:r>
              <w:rPr>
                <w:rFonts w:hint="eastAsia"/>
                <w:sz w:val="20"/>
                <w:szCs w:val="20"/>
              </w:rPr>
              <w:t>2.装修完成后搬迁至弘德楼一楼北面物流实训室</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机房空调</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保险柜式电子防潮箱</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化妆桌椅套装</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直播手机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财经302摄影棚（保险柜内）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单反数码相机700D</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财经302摄影棚（保险柜内）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单反相机-佳能5D3</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财经302摄影棚（保险柜内）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办公桌</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伸缩台</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绿幕</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塑料储物盒</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耗材纸箱</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打印纸</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瓷器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化妆箱</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相机镜头佳能100m</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财经302摄影棚（保险柜内）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耗材若干（需要打包）</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批</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投影仪</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环形灯</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7</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补光灯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尼康相机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财经302摄影棚（保险柜内）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新校区综合楼1005</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影室闪电灯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拆卸后搬运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数码电源箱</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拆卸后搬运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移动外拍闪电灯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拆卸后搬运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天光路轨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财经302摄影棚</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拆卸后搬运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投影机+电动幕</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财经校区综合楼403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拆卸后搬运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从财经搬迁至新校区图书馆二楼指定位置</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大理石办公大厅台搬迁</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铁柜搬迁</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接待柜、长椅子搬迁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落地扇</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实训耗材</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批</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50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财经学生饭堂203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99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电脑桌椅搬迁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50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财经校区301实训室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财经校区301实训室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投影机、推拉黑板、音响</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财经校区301实训室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教师机和讲台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财经校区301实训室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交换机</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财经校区301实训室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服务器</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财经校区301实训室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交换机、服务器机箱</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财经校区301实训室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窗帘</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财经校区301实训室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新校区综合楼1001</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收银桌椅搬迁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新校区综合楼804</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拆卸后搬运至指定位置，并按要求安装调试至正常使用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收银机搬迁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展示柜搬迁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窗帘</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财经校区商贸办公大厅</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窗帘搬迁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会计实训耗材搬迁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批</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财经校区会计专业收银实训室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新校区综合楼804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电脑搬迁</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从财经搬迁至新校区图书馆二楼指定位置</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交互平板一体机（希沃）</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音响及功放</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钢制讲台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幕布</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投影机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中控器、台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展台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话筒</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电子白板</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推拉白板、黑板</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块</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机柜</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项</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财经校区402机房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电脑桌椅、课桌椅搬迁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财经校区402机房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桌子：南技校区饭堂</w:t>
            </w:r>
            <w:r>
              <w:rPr>
                <w:rFonts w:hint="eastAsia"/>
                <w:sz w:val="20"/>
                <w:szCs w:val="20"/>
              </w:rPr>
              <w:br w:type="textWrapping"/>
            </w:r>
            <w:r>
              <w:rPr>
                <w:rFonts w:hint="eastAsia"/>
                <w:sz w:val="20"/>
                <w:szCs w:val="20"/>
              </w:rPr>
              <w:t>椅子：新校区综合楼1004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空调搬迁</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财经校区402机房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投影机、推拉黑板、音响</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财经校区402机房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教师讲台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财经校区402机房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交换机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财经校区402机房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交换机柜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项</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财经校区402机房</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新校区综合楼1004</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财经校区新教学楼103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新校区弘心楼410</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要求布线安装调试至正常使用</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音响及功放</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拆卸后搬运</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134</w:t>
            </w:r>
          </w:p>
        </w:tc>
        <w:tc>
          <w:tcPr>
            <w:tcW w:w="1412" w:type="dxa"/>
            <w:tcBorders>
              <w:top w:val="single" w:color="auto"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讲台</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26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135</w:t>
            </w:r>
          </w:p>
        </w:tc>
        <w:tc>
          <w:tcPr>
            <w:tcW w:w="1412" w:type="dxa"/>
            <w:tcBorders>
              <w:top w:val="nil"/>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幕布</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11</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136</w:t>
            </w:r>
          </w:p>
        </w:tc>
        <w:tc>
          <w:tcPr>
            <w:tcW w:w="1412" w:type="dxa"/>
            <w:tcBorders>
              <w:top w:val="nil"/>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投影机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17</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137</w:t>
            </w:r>
          </w:p>
        </w:tc>
        <w:tc>
          <w:tcPr>
            <w:tcW w:w="1412" w:type="dxa"/>
            <w:tcBorders>
              <w:top w:val="nil"/>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中控器、台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8</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138</w:t>
            </w:r>
          </w:p>
        </w:tc>
        <w:tc>
          <w:tcPr>
            <w:tcW w:w="1412" w:type="dxa"/>
            <w:tcBorders>
              <w:top w:val="nil"/>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展台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6</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139</w:t>
            </w:r>
          </w:p>
        </w:tc>
        <w:tc>
          <w:tcPr>
            <w:tcW w:w="1412" w:type="dxa"/>
            <w:tcBorders>
              <w:top w:val="nil"/>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话筒</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12</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140</w:t>
            </w:r>
          </w:p>
        </w:tc>
        <w:tc>
          <w:tcPr>
            <w:tcW w:w="1412" w:type="dxa"/>
            <w:tcBorders>
              <w:top w:val="nil"/>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电脑</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4</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141</w:t>
            </w:r>
          </w:p>
        </w:tc>
        <w:tc>
          <w:tcPr>
            <w:tcW w:w="1412" w:type="dxa"/>
            <w:tcBorders>
              <w:top w:val="nil"/>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电脑主机（二）</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19</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000000"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142</w:t>
            </w:r>
          </w:p>
        </w:tc>
        <w:tc>
          <w:tcPr>
            <w:tcW w:w="1412" w:type="dxa"/>
            <w:tcBorders>
              <w:top w:val="nil"/>
              <w:left w:val="single" w:color="000000" w:sz="4" w:space="0"/>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电子白板</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000000" w:sz="4" w:space="0"/>
            </w:tcBorders>
            <w:shd w:val="clear" w:color="auto" w:fill="auto"/>
            <w:noWrap/>
            <w:vAlign w:val="center"/>
          </w:tcPr>
          <w:p>
            <w:pPr>
              <w:jc w:val="center"/>
              <w:rPr>
                <w:rFonts w:ascii="宋体" w:hAnsi="宋体" w:cs="宋体"/>
                <w:sz w:val="20"/>
                <w:szCs w:val="20"/>
              </w:rPr>
            </w:pPr>
            <w:r>
              <w:rPr>
                <w:rFonts w:hint="eastAsia"/>
                <w:sz w:val="20"/>
                <w:szCs w:val="20"/>
              </w:rPr>
              <w:t>6</w:t>
            </w:r>
          </w:p>
        </w:tc>
        <w:tc>
          <w:tcPr>
            <w:tcW w:w="709"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0"/>
                <w:szCs w:val="20"/>
              </w:rPr>
            </w:pP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手推液压托盘车</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手动液压托盘车</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手动液压托盘搬运车</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半电动推垛车</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踏板式电动托盘搬运车</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平衡重式电瓶叉车</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内燃叉车</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流利式输送链</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流利式货架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喷墨打印机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落地扇</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设备调试检测服务</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项</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设备调试检测服务</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实训耗材</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批</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新校区弘德楼1楼北面</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耗材搬迁，搬迁后需摆放整齐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3D虚拟现实管理系统-运输</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3D虚拟现实物流管理系统--仓储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90度转弯辊筒输送机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GPS车载终端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半自动打包机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半自动堆高机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仓储与配送管理课程</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仓储与配送实训课程</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车辆节点跟踪rfid一体机</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出入库辊筒式输送机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地理信息系统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登高车</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点验钞机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电子地图</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电子台称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调度监控系统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顶升汽缸</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动力皮带传输线</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短信平台支持系统</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短信收发设备（含短信平台支持软件）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堆垛机智能控制柜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高端物流亚克力挂图</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高台打包机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工业级RF手持终端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工业级条码打印机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工业级无线基站</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固定高频RFID读写设备</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管理技能实训课程</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基于GIS的配送优化实验系统</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基于GIS的运输优化实验系统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基于RF的企业级仓储管理系统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激光条码扫描平台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激光条码阅读器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189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加工工作台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立体托盘货架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盘点机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企业级快递物流系统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商业条形码打印机</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驶入式货架</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室外练习重型货架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手持式条码打印机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条码检测仪</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条码扫描终端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199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温湿度记录仪</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物流单证技能练习竞赛系统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物流地理课程</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物流模拟实训课程</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物流平板车</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物流师仿真实训平台—仓储管理系统V1.0</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物流师仿真实训平台—运输管理系统V1.0</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物流师考核鉴定系统—鉴定机构版V1.0</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现代物流管理</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巷道式全自动堆垛机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验钞机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运输管理实务课程</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运输模拟跟踪软件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运输实训课程</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运输实训室教程</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门</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真空包装机</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智能型POS机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中央控制器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自动分栋机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电子标签辅助捡货系统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供应链实训管理软件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分销连锁与配送软件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国际物流管理软件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手持RFLD读写工业级一体系软件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GPS附件</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物流配送货架</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基站中控设备</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手持条码扫描仪</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超市双面货架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流利式货架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229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电子标签系统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交换机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财经校区综合楼1楼102物流实训室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设备搬迁</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二手电子琴、电子琴（含琴架）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财经旧教学楼106</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拆卸并搬运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232</w:t>
            </w:r>
          </w:p>
        </w:tc>
        <w:tc>
          <w:tcPr>
            <w:tcW w:w="141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电子琴(含琴架)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财经新女生宿舍负一楼104</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拆卸并搬运</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电子琴</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财经新女生宿舍负一楼104</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拆卸并搬运</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234</w:t>
            </w:r>
          </w:p>
        </w:tc>
        <w:tc>
          <w:tcPr>
            <w:tcW w:w="141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电钢琴</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5</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财经新女生宿舍负一楼104</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新校区弘心楼402</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电子琴（含琴架）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财经校区2号楼102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拆卸并搬运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电钢琴</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财经校区2号楼102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拆卸并搬运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237</w:t>
            </w:r>
          </w:p>
        </w:tc>
        <w:tc>
          <w:tcPr>
            <w:tcW w:w="141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二手电子琴</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财经新女生宿舍负一楼103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拆卸并搬运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238</w:t>
            </w:r>
          </w:p>
        </w:tc>
        <w:tc>
          <w:tcPr>
            <w:tcW w:w="141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电钢琴</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财经新女生宿舍负一楼103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拆卸并搬运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239</w:t>
            </w:r>
          </w:p>
        </w:tc>
        <w:tc>
          <w:tcPr>
            <w:tcW w:w="141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电子琴</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财经新女生宿舍负一楼103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拆卸并搬运</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240</w:t>
            </w:r>
          </w:p>
        </w:tc>
        <w:tc>
          <w:tcPr>
            <w:tcW w:w="141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电钢琴</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财经新女生宿舍负一楼103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新校区弘心楼402</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241</w:t>
            </w:r>
          </w:p>
        </w:tc>
        <w:tc>
          <w:tcPr>
            <w:tcW w:w="141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电子琴</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财经新女生宿舍负一楼105</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242</w:t>
            </w:r>
          </w:p>
        </w:tc>
        <w:tc>
          <w:tcPr>
            <w:tcW w:w="141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舒密尔钢琴</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财经新教学楼301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新校区弘心楼402</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243</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电钢琴</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财经新教学楼302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新校区弘心楼402</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儿童床（含配套床品）</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张</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空调</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计算机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录播系统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项</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区域活动美工区3</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区域活动美工区2</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区域活动美工区1</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区域活动角色区3</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区域活动角色区2</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区域活动角色区1</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区域活动建构区3</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区域活动建构区2</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区域活动建构区1</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区域活动表演区3</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区域活动表演区2</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区域活动表演区1</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精品小卖部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精品购物车</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精品购物车</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原木四层推拉床</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幼儿桌子</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双人小沙发</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商品陈列架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儿童间组合柜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材料柜2</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实训美术耗材</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教材</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财经旧教学楼2楼教师休息室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弘心楼101</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搬运至指定位置</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育婴实训耗材</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箱</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财经新教学楼302后面小房间</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弘心楼404</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搬运至指定位置</w:t>
            </w:r>
          </w:p>
        </w:tc>
      </w:tr>
      <w:tr>
        <w:tblPrEx>
          <w:tblCellMar>
            <w:top w:w="0" w:type="dxa"/>
            <w:left w:w="108" w:type="dxa"/>
            <w:bottom w:w="0" w:type="dxa"/>
            <w:right w:w="108" w:type="dxa"/>
          </w:tblCellMar>
        </w:tblPrEx>
        <w:trPr>
          <w:trHeight w:val="769"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科龙柜式空调</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财经校区新教学楼301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新校区城轨实训室弘心楼407</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拆卸、搬运至指定位置并安装调试保证正常使用</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音箱</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财经校区新教学楼301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w:t>
            </w:r>
          </w:p>
        </w:tc>
      </w:tr>
      <w:tr>
        <w:tblPrEx>
          <w:tblCellMar>
            <w:top w:w="0" w:type="dxa"/>
            <w:left w:w="108" w:type="dxa"/>
            <w:bottom w:w="0" w:type="dxa"/>
            <w:right w:w="108" w:type="dxa"/>
          </w:tblCellMar>
        </w:tblPrEx>
        <w:trPr>
          <w:trHeight w:val="7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中控台</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财经新教学楼301</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钢制讲台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财经新教学楼301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南技校区食堂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拆卸、搬运</w:t>
            </w:r>
          </w:p>
        </w:tc>
      </w:tr>
      <w:tr>
        <w:tblPrEx>
          <w:tblCellMar>
            <w:top w:w="0" w:type="dxa"/>
            <w:left w:w="108" w:type="dxa"/>
            <w:bottom w:w="0" w:type="dxa"/>
            <w:right w:w="108" w:type="dxa"/>
          </w:tblCellMar>
        </w:tblPrEx>
        <w:trPr>
          <w:trHeight w:val="126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围挡</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将暂存在新校区图书馆二楼的设备做篷布进行暂时围挡，等待二次搬迁</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批</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新校区图书馆2楼</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架床</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580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床</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变压器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279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办公桌椅</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办公桌椅</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281</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空调</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282</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空调</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弘心楼411</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空调</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弘德楼107</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学生桌椅</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800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学生桌椅</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200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文件柜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财经新教学楼302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不锈钢餐桌</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阶梯教室排椅</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150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财经新教学楼阶梯教室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289</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长虹彩色电视机</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17</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290</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台钻</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打印机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传真机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验钞机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POS机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无绳电话子母机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无间断电源</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297</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扫描仪</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298</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LED显示屏</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块</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299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强力落地扇</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落地扇</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吊扇</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财经新教学楼</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万和热水器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财经旧教学楼2楼教师休息室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学生宿舍热水器刷卡水控系统</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全自动电热开水器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305</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数码节能温热饮水机</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306</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7.5KW污水泵</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台式电脑</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璧扇</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309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吸顶扇</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50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会议桌</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张</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财经校区会议室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交流参数稳压器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三相异步电动机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储水器</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套</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空气能热泵热水机组</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xml:space="preserve">  不锈钢双池</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三星池</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不锈钢单池</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不锈钢架子</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319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不锈钢货架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不锈钢工作台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321</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不锈钢拉门案板台</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322</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油烟系统</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套</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财经校区饭堂</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台式钻床</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铁皮文件柜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保险柜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铝制梯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南技校区饭堂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分类垃圾箱</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垃圾桶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新校区学生宿舍5栋架空层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329</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劳动用品</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批</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330</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对讲机</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7</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空气呼吸器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套</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防火隔热服</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专业功放带调音台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财经校区旧教学楼103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广播智能音源监听器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财经校区旧教学楼102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广播智能主机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财经校区旧教学楼103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无线话筒</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337</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返听音箱</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财经饭堂101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338</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喇叭</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财经校区学生饭堂101</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339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专业调音台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数字收音头</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财经饭堂101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均衡器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电源管理器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功放机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344</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主备功放切换器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345</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工业级专业液晶监视器</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财经饭堂101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346</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24口网络交换机</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信号电源防雷器</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LED54颗3W帕灯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财经校区旧教学楼103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349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LED54颗3W三合一全彩帕灯</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财经校区旧教学楼103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IP网络可视化对讲控制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财经饭堂2楼走道</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351</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智能书柜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352</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灯光控制台</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353</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大合唱专用大振膜电容话筒</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财经校区学生饭堂101</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354</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IP网络防水音柱</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12</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财经操场</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355</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IP网络监听音箱</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356</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灯光支架</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财经校区学生饭堂102室</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357</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嵌入式网络数字硬盘录像机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男生宿舍外墙</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358</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网络硬盘录像机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359</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机柜</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财经校区学生饭堂101</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360</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控制键盘</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个</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财经校区2号楼102</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361</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监视器</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财经校区旧教学楼103</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新校区6栋115</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362</w:t>
            </w:r>
          </w:p>
        </w:tc>
        <w:tc>
          <w:tcPr>
            <w:tcW w:w="141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监控视频服务器</w:t>
            </w:r>
          </w:p>
        </w:tc>
        <w:tc>
          <w:tcPr>
            <w:tcW w:w="16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财经校区旧教学楼103</w:t>
            </w:r>
          </w:p>
        </w:tc>
        <w:tc>
          <w:tcPr>
            <w:tcW w:w="29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942"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363</w:t>
            </w:r>
          </w:p>
        </w:tc>
        <w:tc>
          <w:tcPr>
            <w:tcW w:w="141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130万像素枪机</w:t>
            </w:r>
          </w:p>
        </w:tc>
        <w:tc>
          <w:tcPr>
            <w:tcW w:w="16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　</w:t>
            </w:r>
          </w:p>
        </w:tc>
        <w:tc>
          <w:tcPr>
            <w:tcW w:w="75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台</w:t>
            </w:r>
          </w:p>
        </w:tc>
        <w:tc>
          <w:tcPr>
            <w:tcW w:w="226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财经校区旧教学楼103</w:t>
            </w:r>
          </w:p>
        </w:tc>
        <w:tc>
          <w:tcPr>
            <w:tcW w:w="29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新校区6栋115</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　</w:t>
            </w:r>
          </w:p>
        </w:tc>
      </w:tr>
    </w:tbl>
    <w:p>
      <w:pPr>
        <w:tabs>
          <w:tab w:val="left" w:pos="540"/>
          <w:tab w:val="left" w:pos="574"/>
        </w:tabs>
        <w:spacing w:line="360" w:lineRule="auto"/>
        <w:outlineLvl w:val="0"/>
        <w:rPr>
          <w:rFonts w:ascii="宋体" w:hAnsi="宋体" w:cs="宋体"/>
          <w:b/>
          <w:bCs/>
          <w:color w:val="FF0000"/>
        </w:rPr>
      </w:pPr>
      <w:bookmarkStart w:id="7" w:name="_Toc6045"/>
    </w:p>
    <w:p>
      <w:pPr>
        <w:pStyle w:val="2"/>
      </w:pPr>
      <w:r>
        <w:rPr>
          <w:rFonts w:ascii="宋体" w:hAnsi="宋体" w:cs="宋体"/>
          <w:b w:val="0"/>
          <w:bCs w:val="0"/>
          <w:color w:val="FF0000"/>
        </w:rPr>
        <w:br w:type="page"/>
      </w:r>
    </w:p>
    <w:p>
      <w:pPr>
        <w:tabs>
          <w:tab w:val="left" w:pos="540"/>
          <w:tab w:val="left" w:pos="574"/>
        </w:tabs>
        <w:spacing w:line="360" w:lineRule="auto"/>
        <w:outlineLvl w:val="0"/>
        <w:rPr>
          <w:rFonts w:ascii="宋体" w:hAnsi="宋体" w:cs="宋体"/>
          <w:b/>
          <w:bCs/>
          <w:color w:val="FF0000"/>
        </w:rPr>
        <w:sectPr>
          <w:pgSz w:w="16838" w:h="11906" w:orient="landscape"/>
          <w:pgMar w:top="1800" w:right="1440" w:bottom="1800" w:left="1440" w:header="851" w:footer="992" w:gutter="0"/>
          <w:pgNumType w:start="1"/>
          <w:cols w:space="720" w:num="1"/>
          <w:docGrid w:type="lines" w:linePitch="312" w:charSpace="0"/>
        </w:sectPr>
      </w:pPr>
    </w:p>
    <w:p>
      <w:pPr>
        <w:tabs>
          <w:tab w:val="left" w:pos="540"/>
          <w:tab w:val="left" w:pos="574"/>
        </w:tabs>
        <w:spacing w:line="360" w:lineRule="auto"/>
        <w:outlineLvl w:val="0"/>
        <w:rPr>
          <w:rFonts w:ascii="宋体" w:hAnsi="宋体" w:cs="宋体"/>
          <w:b/>
          <w:bCs/>
          <w:color w:val="auto"/>
        </w:rPr>
      </w:pPr>
      <w:r>
        <w:rPr>
          <w:rFonts w:ascii="宋体" w:hAnsi="宋体" w:cs="宋体"/>
          <w:b/>
          <w:bCs/>
          <w:color w:val="auto"/>
        </w:rPr>
        <w:t>五、</w:t>
      </w:r>
      <w:r>
        <w:rPr>
          <w:rFonts w:hint="eastAsia" w:ascii="宋体" w:hAnsi="宋体" w:cs="宋体"/>
          <w:b/>
          <w:bCs/>
          <w:color w:val="auto"/>
        </w:rPr>
        <w:t>商务要求</w:t>
      </w:r>
      <w:bookmarkEnd w:id="7"/>
    </w:p>
    <w:p>
      <w:pPr>
        <w:tabs>
          <w:tab w:val="left" w:pos="420"/>
          <w:tab w:val="left" w:pos="540"/>
          <w:tab w:val="left" w:pos="574"/>
        </w:tabs>
        <w:spacing w:line="360" w:lineRule="auto"/>
        <w:ind w:left="422"/>
        <w:outlineLvl w:val="0"/>
      </w:pPr>
      <w:r>
        <w:rPr>
          <w:rFonts w:hint="eastAsia"/>
        </w:rPr>
        <w:t>▲（一）合同签订期：中标通知书发放之日起</w:t>
      </w:r>
      <w:r>
        <w:rPr>
          <w:rFonts w:hint="eastAsia"/>
          <w:u w:val="single"/>
        </w:rPr>
        <w:t xml:space="preserve"> </w:t>
      </w:r>
      <w:r>
        <w:rPr>
          <w:u w:val="single"/>
        </w:rPr>
        <w:t>7</w:t>
      </w:r>
      <w:r>
        <w:rPr>
          <w:rFonts w:hint="eastAsia"/>
        </w:rPr>
        <w:t>个工作日内。</w:t>
      </w:r>
    </w:p>
    <w:p>
      <w:pPr>
        <w:spacing w:line="560" w:lineRule="exact"/>
        <w:ind w:firstLine="420" w:firstLineChars="200"/>
      </w:pPr>
      <w:r>
        <w:rPr>
          <w:rFonts w:hint="eastAsia"/>
        </w:rPr>
        <w:t>▲（二）服务时间：合同签订之日起 20 天（因遇到不可抗力因素工期可顺延）内送货、安装、调试完毕，并确保设备正常运行。</w:t>
      </w:r>
    </w:p>
    <w:p>
      <w:pPr>
        <w:spacing w:line="560" w:lineRule="exact"/>
        <w:ind w:firstLine="420" w:firstLineChars="200"/>
      </w:pPr>
      <w:r>
        <w:rPr>
          <w:rFonts w:hint="eastAsia"/>
        </w:rPr>
        <w:t>▲（三）付款方式：本项目无预付款，货物经采购人书面验收合格后，成交人将发票交采购人向市财政局交用款申请批复后，一次性支付合同款。鉴于本合同款项系使用财政资金支付，采购人在验收合格后向财政部门申请付款，既视为采购人已履行支付义务，具体付款时间以财政部门批复并支付为准。</w:t>
      </w:r>
    </w:p>
    <w:p>
      <w:pPr>
        <w:pStyle w:val="17"/>
        <w:spacing w:line="500" w:lineRule="exact"/>
        <w:ind w:firstLine="442" w:firstLineChars="200"/>
        <w:rPr>
          <w:rFonts w:hAnsi="宋体"/>
          <w:b/>
        </w:rPr>
      </w:pPr>
      <w:bookmarkStart w:id="8" w:name="_Toc14828"/>
      <w:r>
        <w:rPr>
          <w:rFonts w:hint="eastAsia" w:hAnsi="宋体"/>
          <w:b/>
          <w:sz w:val="22"/>
        </w:rPr>
        <w:t>▲（四）总体要求：</w:t>
      </w:r>
      <w:r>
        <w:rPr>
          <w:rFonts w:hint="eastAsia" w:hAnsi="宋体"/>
          <w:b/>
        </w:rPr>
        <w:t>符合统一规划、专业规范、安全有序。</w:t>
      </w:r>
    </w:p>
    <w:p>
      <w:pPr>
        <w:pStyle w:val="17"/>
        <w:spacing w:line="500" w:lineRule="exact"/>
        <w:ind w:firstLine="420" w:firstLineChars="200"/>
        <w:rPr>
          <w:rFonts w:hAnsi="宋体"/>
        </w:rPr>
      </w:pPr>
      <w:r>
        <w:rPr>
          <w:rFonts w:hint="eastAsia" w:hAnsi="宋体"/>
        </w:rPr>
        <w:t>1</w:t>
      </w:r>
      <w:r>
        <w:rPr>
          <w:rFonts w:hAnsi="宋体"/>
        </w:rPr>
        <w:t>.</w:t>
      </w:r>
      <w:r>
        <w:rPr>
          <w:rFonts w:hint="eastAsia" w:hAnsi="宋体"/>
        </w:rPr>
        <w:t>搬迁顺序：每栋楼的搬迁要统一安排，对照清单后才接着另一个</w:t>
      </w:r>
      <w:r>
        <w:rPr>
          <w:rFonts w:hint="eastAsia" w:hAnsi="宋体"/>
          <w:color w:val="FF0000"/>
        </w:rPr>
        <w:t>区域</w:t>
      </w:r>
      <w:r>
        <w:rPr>
          <w:rFonts w:hint="eastAsia" w:hAnsi="宋体"/>
        </w:rPr>
        <w:t>，不要同一时间搬几个</w:t>
      </w:r>
      <w:r>
        <w:rPr>
          <w:rFonts w:hint="eastAsia" w:hAnsi="宋体"/>
          <w:color w:val="FF0000"/>
        </w:rPr>
        <w:t>区域</w:t>
      </w:r>
      <w:r>
        <w:rPr>
          <w:rFonts w:hint="eastAsia" w:hAnsi="宋体"/>
        </w:rPr>
        <w:t>， 避免混乱或放错位置。</w:t>
      </w:r>
    </w:p>
    <w:p>
      <w:pPr>
        <w:pStyle w:val="17"/>
        <w:spacing w:line="500" w:lineRule="exact"/>
        <w:ind w:firstLine="420" w:firstLineChars="200"/>
        <w:rPr>
          <w:rFonts w:hAnsi="宋体"/>
        </w:rPr>
      </w:pPr>
      <w:r>
        <w:rPr>
          <w:rFonts w:hint="eastAsia" w:hAnsi="宋体"/>
        </w:rPr>
        <w:t>2</w:t>
      </w:r>
      <w:r>
        <w:rPr>
          <w:rFonts w:hAnsi="宋体"/>
        </w:rPr>
        <w:t>.</w:t>
      </w:r>
      <w:r>
        <w:rPr>
          <w:rFonts w:hint="eastAsia" w:hAnsi="宋体"/>
        </w:rPr>
        <w:t>搬迁所有设备拆装要符合国家标准的操作步骤，且有相关资质的专业技术员现场指导，重要设备要做防护措施，避免在搬运过程造成损坏，包装符合防雨防潮，运输符合抗振、防滑、防倒等要求。</w:t>
      </w:r>
    </w:p>
    <w:p>
      <w:pPr>
        <w:pStyle w:val="17"/>
        <w:spacing w:line="500" w:lineRule="exact"/>
        <w:ind w:firstLine="420" w:firstLineChars="200"/>
        <w:rPr>
          <w:rFonts w:hAnsi="宋体"/>
        </w:rPr>
      </w:pPr>
      <w:r>
        <w:rPr>
          <w:rFonts w:hint="eastAsia" w:hAnsi="宋体"/>
        </w:rPr>
        <w:t>3</w:t>
      </w:r>
      <w:r>
        <w:rPr>
          <w:rFonts w:hAnsi="宋体"/>
        </w:rPr>
        <w:t>.</w:t>
      </w:r>
      <w:r>
        <w:rPr>
          <w:rFonts w:hint="eastAsia" w:hAnsi="宋体"/>
        </w:rPr>
        <w:t>搬迁投标人需制定有搬迁计划。搬迁计划含：每天工作内容以及进度计划，有时间进度保证措施；各个阶段工作安排，搬运货物混乱或者错放位置的补救；明确投入运输车辆数量，以及车辆安排规划；说明货物打包以及搬运的方式，有质量保证措施和安全保证措施；有每个功能室的设备还原施工布线图；风险管理，文明施工方案。</w:t>
      </w:r>
    </w:p>
    <w:p>
      <w:pPr>
        <w:pStyle w:val="17"/>
        <w:spacing w:line="500" w:lineRule="exact"/>
        <w:ind w:firstLine="442" w:firstLineChars="200"/>
        <w:rPr>
          <w:rFonts w:hAnsi="宋体"/>
          <w:b/>
          <w:sz w:val="22"/>
        </w:rPr>
      </w:pPr>
      <w:r>
        <w:rPr>
          <w:rFonts w:hint="eastAsia" w:hAnsi="宋体"/>
          <w:b/>
          <w:sz w:val="22"/>
        </w:rPr>
        <w:t>▲(</w:t>
      </w:r>
      <w:r>
        <w:rPr>
          <w:rFonts w:hAnsi="宋体"/>
          <w:b/>
          <w:sz w:val="22"/>
        </w:rPr>
        <w:t>五)</w:t>
      </w:r>
      <w:r>
        <w:rPr>
          <w:rFonts w:hint="eastAsia" w:hAnsi="宋体"/>
          <w:b/>
          <w:sz w:val="22"/>
        </w:rPr>
        <w:t>具体要求</w:t>
      </w:r>
    </w:p>
    <w:p>
      <w:pPr>
        <w:pStyle w:val="17"/>
        <w:spacing w:line="500" w:lineRule="exact"/>
        <w:ind w:firstLine="420" w:firstLineChars="200"/>
        <w:rPr>
          <w:rFonts w:hAnsi="宋体"/>
        </w:rPr>
      </w:pPr>
      <w:r>
        <w:rPr>
          <w:rFonts w:hAnsi="宋体"/>
        </w:rPr>
        <w:t>1</w:t>
      </w:r>
      <w:r>
        <w:rPr>
          <w:rFonts w:hint="eastAsia" w:hAnsi="宋体"/>
        </w:rPr>
        <w:t>.投标人需提供打包服务，搬迁打包所需的木箱、纸箱、泡沫、防振、防雨等物品；搬运设备关键部位固定件，以及搬运所需其它物品由投标人负责提供。根据搬运计划安排，投标人需在搬迁前两天提供纸箱给需搬迁部门，以便搬迁部门提前将搬迁物品整理装箱。</w:t>
      </w:r>
    </w:p>
    <w:p>
      <w:pPr>
        <w:pStyle w:val="17"/>
        <w:spacing w:line="500" w:lineRule="exact"/>
        <w:ind w:firstLine="420" w:firstLineChars="200"/>
        <w:rPr>
          <w:rFonts w:hAnsi="宋体"/>
        </w:rPr>
      </w:pPr>
      <w:r>
        <w:rPr>
          <w:rFonts w:hint="eastAsia" w:hAnsi="宋体"/>
        </w:rPr>
        <w:t>2.搬迁设备的拆卸、搬运、安装调试、布线、布管等（含所需的耗材）任务所产生的费用均由投标人承担。</w:t>
      </w:r>
    </w:p>
    <w:p>
      <w:pPr>
        <w:pStyle w:val="17"/>
        <w:spacing w:line="500" w:lineRule="exact"/>
        <w:ind w:firstLine="420" w:firstLineChars="200"/>
        <w:rPr>
          <w:rFonts w:hAnsi="宋体"/>
        </w:rPr>
      </w:pPr>
      <w:r>
        <w:rPr>
          <w:rFonts w:hAnsi="宋体"/>
        </w:rPr>
        <w:t>3</w:t>
      </w:r>
      <w:r>
        <w:rPr>
          <w:rFonts w:hint="eastAsia" w:hAnsi="宋体"/>
        </w:rPr>
        <w:t>.必须能够达到学校的如下要求：</w:t>
      </w:r>
    </w:p>
    <w:p>
      <w:pPr>
        <w:pStyle w:val="17"/>
        <w:spacing w:line="500" w:lineRule="exact"/>
        <w:ind w:firstLine="420" w:firstLineChars="200"/>
        <w:rPr>
          <w:rFonts w:hAnsi="宋体"/>
        </w:rPr>
      </w:pPr>
      <w:r>
        <w:rPr>
          <w:rFonts w:hint="eastAsia" w:hAnsi="宋体"/>
        </w:rPr>
        <w:t>（</w:t>
      </w:r>
      <w:r>
        <w:rPr>
          <w:rFonts w:hAnsi="宋体"/>
        </w:rPr>
        <w:t>1</w:t>
      </w:r>
      <w:r>
        <w:rPr>
          <w:rFonts w:hint="eastAsia" w:hAnsi="宋体"/>
        </w:rPr>
        <w:t>）所有教学设备的搬迁要求：拆装要符合国家标准的操作步骤，且有专业技术员现场指导；</w:t>
      </w:r>
      <w:r>
        <w:rPr>
          <w:rFonts w:hint="eastAsia" w:hAnsi="宋体"/>
          <w:color w:val="FF0000"/>
        </w:rPr>
        <w:t>重要设备</w:t>
      </w:r>
      <w:r>
        <w:rPr>
          <w:rFonts w:hint="eastAsia" w:hAnsi="宋体"/>
        </w:rPr>
        <w:t>要做防护措施，包装符合防雨防潮，运输符合抗振等要求，避免在搬运过程造成损坏。拆装与搬运公司具备有专业资质。</w:t>
      </w:r>
    </w:p>
    <w:p>
      <w:pPr>
        <w:pStyle w:val="11"/>
        <w:spacing w:line="500" w:lineRule="exact"/>
        <w:ind w:firstLine="420" w:firstLineChars="200"/>
        <w:rPr>
          <w:rFonts w:hAnsi="宋体"/>
        </w:rPr>
      </w:pPr>
      <w:r>
        <w:rPr>
          <w:rFonts w:hint="eastAsia" w:hAnsi="宋体"/>
        </w:rPr>
        <w:t>（</w:t>
      </w:r>
      <w:r>
        <w:rPr>
          <w:rFonts w:hAnsi="宋体"/>
        </w:rPr>
        <w:t>2</w:t>
      </w:r>
      <w:r>
        <w:rPr>
          <w:rFonts w:hint="eastAsia" w:hAnsi="宋体"/>
        </w:rPr>
        <w:t>）电脑教室设备的搬迁：投标人负责对所有电脑教室的学生电脑、服务器、交换机等设备的拆除、搬运、安装和调试，设备安装前要有详细的布线施工图；线缆、附件损耗的需更换，</w:t>
      </w:r>
      <w:r>
        <w:rPr>
          <w:rFonts w:hint="eastAsia"/>
        </w:rPr>
        <w:t>均由投标人提供</w:t>
      </w:r>
      <w:r>
        <w:rPr>
          <w:rFonts w:hint="eastAsia" w:hAnsi="宋体"/>
        </w:rPr>
        <w:t>。</w:t>
      </w:r>
    </w:p>
    <w:p>
      <w:pPr>
        <w:pStyle w:val="11"/>
        <w:spacing w:line="500" w:lineRule="exact"/>
        <w:ind w:firstLine="420" w:firstLineChars="200"/>
        <w:rPr>
          <w:rFonts w:hAnsi="宋体"/>
        </w:rPr>
      </w:pPr>
      <w:r>
        <w:rPr>
          <w:rFonts w:hint="eastAsia" w:hAnsi="宋体"/>
        </w:rPr>
        <w:t>（</w:t>
      </w:r>
      <w:r>
        <w:rPr>
          <w:rFonts w:hAnsi="宋体"/>
        </w:rPr>
        <w:t>3</w:t>
      </w:r>
      <w:r>
        <w:rPr>
          <w:rFonts w:hint="eastAsia" w:hAnsi="宋体"/>
        </w:rPr>
        <w:t>）空调拆迁及安装要求：负责清单内空调拆迁、搬运及安装所需的辅材均由投标人提供，保证安装完成后</w:t>
      </w:r>
      <w:r>
        <w:rPr>
          <w:rFonts w:hint="eastAsia"/>
        </w:rPr>
        <w:t>达到空调正常制冷标准</w:t>
      </w:r>
      <w:r>
        <w:rPr>
          <w:rFonts w:hint="eastAsia" w:hAnsi="宋体"/>
        </w:rPr>
        <w:t>。</w:t>
      </w:r>
    </w:p>
    <w:p>
      <w:pPr>
        <w:pStyle w:val="11"/>
        <w:spacing w:line="500" w:lineRule="exact"/>
        <w:ind w:firstLine="420" w:firstLineChars="200"/>
        <w:rPr>
          <w:rFonts w:hAnsi="宋体"/>
        </w:rPr>
      </w:pPr>
      <w:r>
        <w:rPr>
          <w:rFonts w:hint="eastAsia" w:hAnsi="宋体"/>
        </w:rPr>
        <w:t>（</w:t>
      </w:r>
      <w:r>
        <w:rPr>
          <w:rFonts w:hAnsi="宋体"/>
        </w:rPr>
        <w:t>4</w:t>
      </w:r>
      <w:r>
        <w:rPr>
          <w:rFonts w:hint="eastAsia" w:hAnsi="宋体"/>
        </w:rPr>
        <w:t>）一般教学设备搬迁后服务要求：在设备搬迁到新场地后，投标人负责对的地板瓷砖、墙面、广告牌等设施的损坏进行更换、修复；安装调试、布线、排水管道排布等</w:t>
      </w:r>
      <w:r>
        <w:rPr>
          <w:rFonts w:hAnsi="宋体"/>
        </w:rPr>
        <w:t xml:space="preserve"> 以上</w:t>
      </w:r>
      <w:r>
        <w:rPr>
          <w:rFonts w:hint="eastAsia" w:hAnsi="宋体"/>
        </w:rPr>
        <w:t>所需的费用由投标人负责。</w:t>
      </w:r>
    </w:p>
    <w:p>
      <w:pPr>
        <w:pStyle w:val="17"/>
        <w:spacing w:line="500" w:lineRule="exact"/>
        <w:ind w:firstLine="442" w:firstLineChars="200"/>
        <w:rPr>
          <w:rFonts w:hAnsi="宋体"/>
          <w:b/>
          <w:sz w:val="22"/>
        </w:rPr>
      </w:pPr>
      <w:r>
        <w:rPr>
          <w:rFonts w:hint="eastAsia" w:hAnsi="宋体"/>
          <w:b/>
          <w:sz w:val="22"/>
        </w:rPr>
        <w:t>▲（六）其它要求</w:t>
      </w:r>
    </w:p>
    <w:p>
      <w:pPr>
        <w:spacing w:line="500" w:lineRule="exact"/>
        <w:ind w:firstLine="420" w:firstLineChars="200"/>
        <w:rPr>
          <w:rFonts w:ascii="宋体" w:hAnsi="宋体" w:cs="宋体"/>
        </w:rPr>
      </w:pPr>
      <w:r>
        <w:rPr>
          <w:rFonts w:ascii="宋体" w:hAnsi="宋体" w:cs="宋体"/>
        </w:rPr>
        <w:t>1.</w:t>
      </w:r>
      <w:r>
        <w:rPr>
          <w:rFonts w:hint="eastAsia" w:ascii="宋体" w:hAnsi="宋体" w:cs="宋体"/>
        </w:rPr>
        <w:t>根据本次项目的搬迁量和完成时间要求，拆、装及调试教学设备必需配充技术人员，搬迁任务所配的车辆要充足，每辆配备搬运人员不少于2人。</w:t>
      </w:r>
    </w:p>
    <w:p>
      <w:pPr>
        <w:pStyle w:val="17"/>
        <w:spacing w:line="500" w:lineRule="exact"/>
        <w:ind w:firstLine="420" w:firstLineChars="200"/>
        <w:rPr>
          <w:rFonts w:hAnsi="宋体"/>
        </w:rPr>
      </w:pPr>
      <w:r>
        <w:rPr>
          <w:rFonts w:hint="eastAsia" w:hAnsi="宋体"/>
        </w:rPr>
        <w:t>2.搬运到新校园新址的教学设备及物品，必须按学校要求指定位置放置，学校方确认后再安装、调试。</w:t>
      </w:r>
    </w:p>
    <w:p>
      <w:pPr>
        <w:pStyle w:val="17"/>
        <w:spacing w:line="500" w:lineRule="exact"/>
        <w:ind w:firstLine="420" w:firstLineChars="200"/>
        <w:rPr>
          <w:rFonts w:hAnsi="宋体"/>
        </w:rPr>
      </w:pPr>
      <w:r>
        <w:rPr>
          <w:rFonts w:hint="eastAsia" w:hAnsi="宋体"/>
        </w:rPr>
        <w:t>3</w:t>
      </w:r>
      <w:r>
        <w:rPr>
          <w:rFonts w:hAnsi="宋体"/>
        </w:rPr>
        <w:t>.</w:t>
      </w:r>
      <w:r>
        <w:rPr>
          <w:rFonts w:hint="eastAsia"/>
        </w:rPr>
        <w:t xml:space="preserve"> </w:t>
      </w:r>
      <w:r>
        <w:rPr>
          <w:rFonts w:hint="eastAsia" w:hAnsi="宋体"/>
        </w:rPr>
        <w:t>投标人组织拆、装及调试教学设备必须使用标准设备和工具，规范操作，以免造成设备损坏、人员伤害事故。</w:t>
      </w:r>
    </w:p>
    <w:p>
      <w:pPr>
        <w:pStyle w:val="17"/>
        <w:spacing w:line="500" w:lineRule="exact"/>
        <w:ind w:firstLine="420" w:firstLineChars="200"/>
        <w:rPr>
          <w:rFonts w:hAnsi="宋体"/>
        </w:rPr>
      </w:pPr>
      <w:r>
        <w:rPr>
          <w:rFonts w:hAnsi="宋体"/>
        </w:rPr>
        <w:t>4</w:t>
      </w:r>
      <w:r>
        <w:rPr>
          <w:rFonts w:hint="eastAsia" w:hAnsi="宋体"/>
        </w:rPr>
        <w:t>.所有需搬迁的物品不得损坏、丢失，如有损坏的由投标人维修恢复原样，不能维修或恢复的按原价值赔偿。</w:t>
      </w:r>
    </w:p>
    <w:p>
      <w:pPr>
        <w:pStyle w:val="17"/>
        <w:spacing w:line="500" w:lineRule="exact"/>
        <w:ind w:firstLine="420" w:firstLineChars="200"/>
        <w:rPr>
          <w:rFonts w:hAnsi="宋体"/>
        </w:rPr>
      </w:pPr>
      <w:r>
        <w:rPr>
          <w:rFonts w:hAnsi="宋体"/>
        </w:rPr>
        <w:t>5.</w:t>
      </w:r>
      <w:r>
        <w:rPr>
          <w:rFonts w:hint="eastAsia" w:hAnsi="宋体"/>
        </w:rPr>
        <w:t>搬运过程中，学校安排有专业教师配合中标公司对教学设备的拆、装及调试教学设备指导和监督工作。</w:t>
      </w:r>
    </w:p>
    <w:p>
      <w:pPr>
        <w:pStyle w:val="17"/>
        <w:spacing w:line="500" w:lineRule="exact"/>
        <w:ind w:firstLine="420" w:firstLineChars="200"/>
        <w:rPr>
          <w:rFonts w:hAnsi="宋体"/>
        </w:rPr>
      </w:pPr>
      <w:r>
        <w:rPr>
          <w:rFonts w:hAnsi="宋体"/>
        </w:rPr>
        <w:t>6</w:t>
      </w:r>
      <w:r>
        <w:rPr>
          <w:rFonts w:hint="eastAsia" w:hAnsi="宋体"/>
        </w:rPr>
        <w:t>.搬运工作的安全要求：</w:t>
      </w:r>
    </w:p>
    <w:p>
      <w:pPr>
        <w:pStyle w:val="17"/>
        <w:spacing w:line="500" w:lineRule="exact"/>
        <w:rPr>
          <w:rFonts w:hAnsi="宋体"/>
        </w:rPr>
      </w:pPr>
      <w:r>
        <w:rPr>
          <w:rFonts w:hint="eastAsia" w:hAnsi="宋体"/>
        </w:rPr>
        <w:t>（1）投标人在组织搬运过程应遵守《中华人民共和国安全法》以及其他有关法律法规，学校的相关安全规定，规范拆、搬运和安装调试过，确保人员生命和设备物品财产安全。</w:t>
      </w:r>
    </w:p>
    <w:p>
      <w:pPr>
        <w:pStyle w:val="17"/>
        <w:spacing w:line="500" w:lineRule="exact"/>
        <w:rPr>
          <w:rFonts w:hAnsi="宋体"/>
        </w:rPr>
      </w:pPr>
      <w:r>
        <w:rPr>
          <w:rFonts w:hint="eastAsia" w:hAnsi="宋体"/>
        </w:rPr>
        <w:t>（</w:t>
      </w:r>
      <w:r>
        <w:rPr>
          <w:rFonts w:hAnsi="宋体"/>
        </w:rPr>
        <w:t>2</w:t>
      </w:r>
      <w:r>
        <w:rPr>
          <w:rFonts w:hint="eastAsia" w:hAnsi="宋体"/>
        </w:rPr>
        <w:t>）投标人在组织实施过程中如发生车辆肇事，搬运人员伤亡等事件，全部责任由投标人承担，均与学校无关。</w:t>
      </w:r>
    </w:p>
    <w:p>
      <w:pPr>
        <w:pStyle w:val="17"/>
        <w:spacing w:line="500" w:lineRule="exact"/>
        <w:rPr>
          <w:rFonts w:hAnsi="宋体"/>
        </w:rPr>
      </w:pPr>
      <w:r>
        <w:rPr>
          <w:rFonts w:hint="eastAsia" w:hAnsi="宋体"/>
        </w:rPr>
        <w:t>（</w:t>
      </w:r>
      <w:r>
        <w:rPr>
          <w:rFonts w:hAnsi="宋体"/>
        </w:rPr>
        <w:t>3</w:t>
      </w:r>
      <w:r>
        <w:rPr>
          <w:rFonts w:hint="eastAsia" w:hAnsi="宋体"/>
        </w:rPr>
        <w:t>）现场搬运人员统一穿戴安全的工作服、劳保鞋，操作符合安全操作规程。</w:t>
      </w:r>
    </w:p>
    <w:bookmarkEnd w:id="4"/>
    <w:bookmarkEnd w:id="8"/>
    <w:p>
      <w:pPr>
        <w:tabs>
          <w:tab w:val="left" w:pos="420"/>
          <w:tab w:val="left" w:pos="540"/>
          <w:tab w:val="left" w:pos="574"/>
        </w:tabs>
        <w:spacing w:line="560" w:lineRule="exact"/>
        <w:ind w:firstLine="420" w:firstLineChars="200"/>
        <w:outlineLvl w:val="0"/>
        <w:rPr>
          <w:rFonts w:ascii="宋体" w:cs="宋体"/>
        </w:rPr>
      </w:pPr>
      <w:bookmarkStart w:id="9" w:name="_Toc454458052"/>
      <w:r>
        <w:rPr>
          <w:rFonts w:ascii="宋体" w:cs="宋体"/>
        </w:rPr>
        <w:t>7</w:t>
      </w:r>
      <w:r>
        <w:rPr>
          <w:rFonts w:hint="eastAsia" w:ascii="宋体" w:cs="宋体"/>
        </w:rPr>
        <w:t>.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560" w:lineRule="exact"/>
        <w:ind w:firstLine="420" w:firstLineChars="200"/>
        <w:outlineLvl w:val="0"/>
        <w:rPr>
          <w:rFonts w:ascii="宋体" w:cs="宋体"/>
        </w:rPr>
      </w:pPr>
      <w:r>
        <w:rPr>
          <w:rFonts w:ascii="宋体" w:cs="宋体"/>
        </w:rPr>
        <w:t>8.</w:t>
      </w:r>
      <w:r>
        <w:rPr>
          <w:rFonts w:hint="eastAsia" w:cs="Times New Roman"/>
          <w:szCs w:val="24"/>
        </w:rPr>
        <w:t xml:space="preserve"> </w:t>
      </w:r>
      <w:r>
        <w:rPr>
          <w:rFonts w:hint="eastAsia" w:ascii="宋体" w:cs="宋体"/>
        </w:rPr>
        <w:t>对采购人的服务通知，成交供应商在接报后1小时内响应，4小时内到达现场，24小时内处理完毕。若在24小时内仍未能有效解决，成交供应商须免费提供同档次的设备给予采购人临时使用。</w:t>
      </w:r>
    </w:p>
    <w:p>
      <w:pPr>
        <w:spacing w:line="360" w:lineRule="auto"/>
        <w:jc w:val="center"/>
        <w:rPr>
          <w:rFonts w:ascii="黑体" w:eastAsia="黑体" w:cs="黑体"/>
          <w:sz w:val="32"/>
          <w:szCs w:val="32"/>
        </w:rPr>
      </w:pPr>
    </w:p>
    <w:p>
      <w:pPr>
        <w:pStyle w:val="3"/>
        <w:jc w:val="center"/>
        <w:rPr>
          <w:sz w:val="36"/>
          <w:szCs w:val="36"/>
        </w:rPr>
      </w:pPr>
      <w:bookmarkStart w:id="10" w:name="_Toc31253"/>
      <w:r>
        <w:rPr>
          <w:rFonts w:hint="eastAsia"/>
          <w:sz w:val="36"/>
          <w:szCs w:val="36"/>
        </w:rPr>
        <w:t>第三章 询价须知</w:t>
      </w:r>
      <w:bookmarkEnd w:id="9"/>
      <w:bookmarkEnd w:id="10"/>
    </w:p>
    <w:p>
      <w:pPr>
        <w:pStyle w:val="3"/>
        <w:adjustRightInd w:val="0"/>
        <w:snapToGrid w:val="0"/>
        <w:spacing w:line="360" w:lineRule="auto"/>
        <w:jc w:val="center"/>
        <w:rPr>
          <w:sz w:val="30"/>
          <w:szCs w:val="30"/>
        </w:rPr>
      </w:pPr>
      <w:bookmarkStart w:id="11" w:name="_Toc23116"/>
      <w:bookmarkStart w:id="12" w:name="_Toc453493032"/>
      <w:bookmarkStart w:id="13" w:name="_Toc448133309"/>
      <w:bookmarkStart w:id="14" w:name="_Toc454458053"/>
      <w:r>
        <w:rPr>
          <w:rFonts w:hint="eastAsia" w:cs="宋体"/>
          <w:sz w:val="30"/>
          <w:szCs w:val="30"/>
        </w:rPr>
        <w:t>一、总则</w:t>
      </w:r>
      <w:bookmarkEnd w:id="11"/>
      <w:bookmarkEnd w:id="12"/>
      <w:bookmarkEnd w:id="13"/>
      <w:bookmarkEnd w:id="14"/>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实质性响应：是指符合询价文件实质性条款的要求。</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7</w:t>
      </w:r>
      <w:r>
        <w:rPr>
          <w:rFonts w:hint="eastAsia" w:ascii="宋体" w:hAnsi="宋体" w:cs="宋体"/>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rPr>
      </w:pPr>
      <w:r>
        <w:rPr>
          <w:rFonts w:hint="eastAsia" w:ascii="宋体" w:hAnsi="宋体" w:cs="宋体"/>
        </w:rPr>
        <w:t>1.</w:t>
      </w:r>
      <w:r>
        <w:rPr>
          <w:rFonts w:ascii="宋体" w:hAnsi="宋体" w:cs="宋体"/>
        </w:rPr>
        <w:t>8</w:t>
      </w:r>
      <w:r>
        <w:rPr>
          <w:rFonts w:hint="eastAsia" w:ascii="Times New Roman" w:hAnsi="Times New Roman" w:cs="宋体"/>
        </w:rPr>
        <w:t>日期、天数、时间：无特别说明时是指公历日及北京时间。</w:t>
      </w:r>
      <w:r>
        <w:rPr>
          <w:rFonts w:cs="宋体"/>
          <w:b/>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5" w:name="_Toc448133310"/>
      <w:bookmarkStart w:id="16" w:name="_Toc454458054"/>
      <w:bookmarkStart w:id="17" w:name="_Toc453493033"/>
      <w:bookmarkStart w:id="18" w:name="_Toc32133"/>
      <w:r>
        <w:rPr>
          <w:rFonts w:hint="eastAsia" w:cs="宋体"/>
          <w:sz w:val="30"/>
          <w:szCs w:val="30"/>
        </w:rPr>
        <w:t>二、询价</w:t>
      </w:r>
      <w:bookmarkEnd w:id="15"/>
      <w:bookmarkEnd w:id="16"/>
      <w:bookmarkEnd w:id="17"/>
      <w:r>
        <w:rPr>
          <w:rFonts w:hint="eastAsia" w:cs="宋体"/>
          <w:sz w:val="30"/>
          <w:szCs w:val="30"/>
        </w:rPr>
        <w:t>文件</w:t>
      </w:r>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rPr>
        <w:t>6.1任何要求对询价</w:t>
      </w:r>
      <w:bookmarkStart w:id="19" w:name="_Hlk42786655"/>
      <w:r>
        <w:rPr>
          <w:rFonts w:hint="eastAsia" w:ascii="宋体" w:hAnsi="宋体" w:cs="宋体"/>
        </w:rPr>
        <w:t>文件</w:t>
      </w:r>
      <w:bookmarkEnd w:id="19"/>
      <w:r>
        <w:rPr>
          <w:rFonts w:hint="eastAsia" w:ascii="宋体" w:hAnsi="宋体" w:cs="宋体"/>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rPr>
      </w:pPr>
      <w:r>
        <w:rPr>
          <w:rFonts w:hint="eastAsia" w:ascii="宋体" w:hAnsi="宋体" w:cs="宋体"/>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rPr>
      </w:pPr>
      <w:r>
        <w:rPr>
          <w:rFonts w:hint="eastAsia" w:ascii="宋体" w:hAnsi="宋体" w:cs="宋体"/>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4</w:t>
      </w:r>
      <w:r>
        <w:rPr>
          <w:rFonts w:hint="eastAsia" w:ascii="宋体" w:hAnsi="宋体" w:cs="宋体"/>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5</w:t>
      </w:r>
      <w:r>
        <w:rPr>
          <w:rFonts w:hint="eastAsia" w:ascii="宋体" w:hAnsi="宋体" w:cs="宋体"/>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rPr>
      </w:pPr>
      <w:r>
        <w:rPr>
          <w:rFonts w:hint="eastAsia" w:ascii="宋体" w:hAnsi="宋体" w:cs="宋体"/>
          <w:b/>
        </w:rPr>
        <w:t>7.询价文件的解释权</w:t>
      </w:r>
    </w:p>
    <w:p>
      <w:pPr>
        <w:snapToGrid w:val="0"/>
        <w:spacing w:line="360" w:lineRule="auto"/>
        <w:ind w:firstLine="420" w:firstLineChars="200"/>
      </w:pPr>
      <w:r>
        <w:rPr>
          <w:rFonts w:hint="eastAsia" w:ascii="宋体" w:hAnsi="宋体" w:cs="宋体"/>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0" w:name="_Toc453493034"/>
      <w:bookmarkStart w:id="21" w:name="_Toc5744"/>
      <w:bookmarkStart w:id="22" w:name="_Toc448133311"/>
      <w:bookmarkStart w:id="23" w:name="_Toc454458055"/>
      <w:r>
        <w:rPr>
          <w:rFonts w:hint="eastAsia" w:cs="宋体"/>
          <w:sz w:val="30"/>
          <w:szCs w:val="30"/>
        </w:rPr>
        <w:t>三、响应文件的编制</w:t>
      </w:r>
      <w:bookmarkEnd w:id="20"/>
      <w:bookmarkEnd w:id="21"/>
      <w:bookmarkEnd w:id="22"/>
      <w:bookmarkEnd w:id="2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4" w:name="_Toc378586968"/>
      <w:r>
        <w:rPr>
          <w:rFonts w:hint="eastAsia" w:ascii="宋体" w:hAnsi="宋体" w:cs="宋体"/>
          <w:b/>
        </w:rPr>
        <w:t>9.响应文件的构成</w:t>
      </w:r>
      <w:bookmarkEnd w:id="24"/>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宋体" w:cs="宋体"/>
        </w:rPr>
      </w:pP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sz w:val="24"/>
        </w:rPr>
      </w:pPr>
      <w:r>
        <w:rPr>
          <w:rFonts w:hint="eastAsia" w:ascii="宋体" w:hAnsi="宋体" w:cs="宋体"/>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5" w:name="_Toc378586971"/>
      <w:r>
        <w:rPr>
          <w:rFonts w:hint="eastAsia" w:ascii="宋体" w:hAnsi="宋体" w:cs="宋体"/>
          <w:b/>
        </w:rPr>
        <w:t>12</w:t>
      </w:r>
      <w:bookmarkEnd w:id="25"/>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6" w:name="_Hlk36653371"/>
      <w:r>
        <w:rPr>
          <w:rFonts w:hint="eastAsia" w:ascii="宋体" w:hAnsi="宋体" w:cs="宋体"/>
        </w:rPr>
        <w:t>1</w:t>
      </w:r>
      <w:r>
        <w:rPr>
          <w:rFonts w:ascii="宋体" w:hAnsi="宋体" w:cs="宋体"/>
        </w:rPr>
        <w:t>2.1</w:t>
      </w:r>
      <w:bookmarkEnd w:id="26"/>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（1）提供虚假材料谋取投标、成交的；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7）将投标项目转让给他人的；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供应商有前款第（1）至（5）项情形之一的，投标、成交无效。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rPr>
      </w:pPr>
      <w:r>
        <w:rPr>
          <w:rFonts w:hint="eastAsia" w:ascii="宋体" w:hAnsi="宋体" w:cs="宋体"/>
        </w:rPr>
        <w:t>14.1响应文件</w:t>
      </w:r>
      <w:r>
        <w:rPr>
          <w:rFonts w:hint="eastAsia" w:ascii="宋体" w:hAnsi="宋体" w:cs="宋体"/>
          <w:b/>
        </w:rPr>
        <w:t>正本一份，副本二份（封面注明供应商名称和项目编号）</w:t>
      </w:r>
      <w:r>
        <w:rPr>
          <w:rFonts w:hint="eastAsia" w:ascii="宋体" w:hAnsi="宋体" w:cs="宋体"/>
        </w:rPr>
        <w:t>，在每一份响应文件上注明</w:t>
      </w:r>
      <w:r>
        <w:rPr>
          <w:rFonts w:hint="eastAsia" w:ascii="宋体" w:hAnsi="Times New Roman" w:cs="宋体"/>
        </w:rPr>
        <w:t>“</w:t>
      </w:r>
      <w:r>
        <w:rPr>
          <w:rFonts w:hint="eastAsia" w:ascii="宋体" w:hAnsi="宋体" w:cs="宋体"/>
        </w:rPr>
        <w:t>正本</w:t>
      </w:r>
      <w:r>
        <w:rPr>
          <w:rFonts w:hint="eastAsia" w:ascii="宋体" w:hAnsi="Times New Roman" w:cs="宋体"/>
        </w:rPr>
        <w:t>”</w:t>
      </w:r>
      <w:r>
        <w:rPr>
          <w:rFonts w:hint="eastAsia" w:ascii="宋体" w:hAnsi="宋体" w:cs="宋体"/>
        </w:rPr>
        <w:t>或</w:t>
      </w:r>
      <w:r>
        <w:rPr>
          <w:rFonts w:hint="eastAsia" w:ascii="宋体" w:hAnsi="Times New Roman" w:cs="宋体"/>
        </w:rPr>
        <w:t>“</w:t>
      </w:r>
      <w:r>
        <w:rPr>
          <w:rFonts w:hint="eastAsia" w:ascii="宋体" w:hAnsi="宋体" w:cs="宋体"/>
        </w:rPr>
        <w:t>副本</w:t>
      </w:r>
      <w:r>
        <w:rPr>
          <w:rFonts w:hint="eastAsia" w:ascii="宋体" w:hAnsi="Times New Roman" w:cs="宋体"/>
        </w:rPr>
        <w:t>”</w:t>
      </w:r>
      <w:r>
        <w:rPr>
          <w:rFonts w:hint="eastAsia" w:ascii="宋体" w:hAnsi="宋体" w:cs="宋体"/>
        </w:rPr>
        <w:t>字样；正本和副本内容有差异，以正本为准；</w:t>
      </w:r>
    </w:p>
    <w:p>
      <w:pPr>
        <w:snapToGrid w:val="0"/>
        <w:spacing w:line="360" w:lineRule="auto"/>
        <w:rPr>
          <w:rFonts w:ascii="宋体" w:hAnsi="Times New Roman" w:cs="宋体"/>
        </w:rPr>
      </w:pPr>
      <w:r>
        <w:rPr>
          <w:rFonts w:hint="eastAsia" w:ascii="宋体" w:hAnsi="宋体" w:cs="宋体"/>
        </w:rPr>
        <w:t xml:space="preserve">    14.2响应文件正本均须用不褪色墨水书写或打印，由法定代表人或其授权代表在指定位置签字盖章；</w:t>
      </w:r>
    </w:p>
    <w:p>
      <w:pPr>
        <w:snapToGrid w:val="0"/>
        <w:spacing w:line="360" w:lineRule="auto"/>
        <w:rPr>
          <w:rFonts w:ascii="宋体" w:hAnsi="Times New Roman" w:cs="宋体"/>
        </w:rPr>
      </w:pPr>
      <w:r>
        <w:rPr>
          <w:rFonts w:hint="eastAsia" w:ascii="宋体" w:hAnsi="宋体" w:cs="宋体"/>
        </w:rPr>
        <w:t xml:space="preserve">    14.3响应文件副本的所有资料都可以用正本复印而成；</w:t>
      </w:r>
    </w:p>
    <w:p>
      <w:pPr>
        <w:snapToGrid w:val="0"/>
        <w:spacing w:line="360" w:lineRule="auto"/>
        <w:rPr>
          <w:rFonts w:ascii="宋体" w:hAnsi="Times New Roman" w:cs="宋体"/>
        </w:rPr>
      </w:pPr>
      <w:r>
        <w:rPr>
          <w:rFonts w:hint="eastAsia" w:ascii="宋体" w:hAnsi="宋体" w:cs="宋体"/>
        </w:rPr>
        <w:t xml:space="preserve">    14.4响应文件正本及所有副本的封面均须加盖公章；</w:t>
      </w:r>
    </w:p>
    <w:p>
      <w:pPr>
        <w:snapToGrid w:val="0"/>
        <w:spacing w:line="360" w:lineRule="auto"/>
        <w:rPr>
          <w:rFonts w:ascii="宋体" w:hAnsi="Times New Roman" w:cs="宋体"/>
        </w:rPr>
      </w:pPr>
      <w:r>
        <w:rPr>
          <w:rFonts w:hint="eastAsia" w:ascii="宋体" w:hAnsi="宋体" w:cs="宋体"/>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7" w:name="_Toc448133312"/>
      <w:bookmarkStart w:id="28" w:name="_Toc454458056"/>
      <w:bookmarkStart w:id="29" w:name="_Toc6491"/>
      <w:bookmarkStart w:id="30" w:name="_Toc453493035"/>
      <w:r>
        <w:rPr>
          <w:rFonts w:hint="eastAsia" w:cs="宋体"/>
          <w:sz w:val="30"/>
          <w:szCs w:val="30"/>
        </w:rPr>
        <w:t>四、响应文件的递交</w:t>
      </w:r>
      <w:bookmarkEnd w:id="27"/>
      <w:bookmarkEnd w:id="28"/>
      <w:bookmarkEnd w:id="29"/>
      <w:bookmarkEnd w:id="30"/>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1" w:name="_Toc448133313"/>
      <w:bookmarkStart w:id="32" w:name="_Toc26439"/>
      <w:bookmarkStart w:id="33" w:name="_Toc454458057"/>
      <w:bookmarkStart w:id="34" w:name="_Toc453493036"/>
      <w:r>
        <w:rPr>
          <w:rFonts w:hint="eastAsia" w:cs="宋体"/>
          <w:sz w:val="30"/>
          <w:szCs w:val="30"/>
        </w:rPr>
        <w:t>询价流程</w:t>
      </w:r>
      <w:bookmarkEnd w:id="31"/>
      <w:bookmarkEnd w:id="32"/>
      <w:bookmarkEnd w:id="33"/>
      <w:bookmarkEnd w:id="34"/>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17.1询价小组共3人，由</w:t>
      </w:r>
      <w:bookmarkStart w:id="35" w:name="_Hlk42790008"/>
      <w:r>
        <w:rPr>
          <w:rFonts w:hint="eastAsia" w:ascii="宋体" w:hAnsi="宋体" w:cs="宋体"/>
        </w:rPr>
        <w:t>项目部门代表</w:t>
      </w:r>
      <w:bookmarkEnd w:id="35"/>
      <w:r>
        <w:rPr>
          <w:rFonts w:hint="eastAsia" w:ascii="宋体" w:hAnsi="宋体" w:cs="宋体"/>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6" w:name="_Hlk42842751"/>
      <w:r>
        <w:rPr>
          <w:rFonts w:hint="eastAsia" w:ascii="宋体" w:hAnsi="宋体" w:cs="宋体"/>
          <w:b/>
          <w:bCs/>
        </w:rPr>
        <w:t>18.</w:t>
      </w:r>
      <w:r>
        <w:rPr>
          <w:rFonts w:ascii="宋体" w:hAnsi="宋体" w:cs="宋体"/>
          <w:b/>
          <w:bCs/>
        </w:rPr>
        <w:t>8</w:t>
      </w:r>
      <w:bookmarkEnd w:id="36"/>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7"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7"/>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8"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8"/>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9"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9"/>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0"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0"/>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1"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1"/>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19.3评审价相同的，按下列顺序比较确定：（1）节能产品；（2）环保产品；如以上都相同的，名次由评标委员会抽签确定。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投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2" w:name="_Toc31343"/>
      <w:bookmarkStart w:id="43" w:name="_Toc433127783"/>
      <w:r>
        <w:rPr>
          <w:rFonts w:hint="eastAsia" w:ascii="宋体" w:hAnsi="宋体" w:cs="宋体"/>
          <w:b/>
        </w:rPr>
        <w:t>21.询问、质疑、投诉</w:t>
      </w:r>
      <w:bookmarkEnd w:id="42"/>
      <w:bookmarkEnd w:id="43"/>
    </w:p>
    <w:p>
      <w:pPr>
        <w:autoSpaceDE w:val="0"/>
        <w:autoSpaceDN w:val="0"/>
        <w:adjustRightInd w:val="0"/>
        <w:snapToGrid w:val="0"/>
        <w:spacing w:line="360" w:lineRule="auto"/>
        <w:ind w:firstLine="413" w:firstLineChars="196"/>
        <w:outlineLvl w:val="0"/>
        <w:rPr>
          <w:rFonts w:ascii="宋体" w:hAnsi="Times New Roman" w:cs="宋体"/>
          <w:b/>
        </w:rPr>
      </w:pPr>
      <w:bookmarkStart w:id="44" w:name="_Toc1886"/>
      <w:r>
        <w:rPr>
          <w:rFonts w:hint="eastAsia" w:ascii="宋体" w:hAnsi="宋体" w:cs="宋体"/>
          <w:b/>
        </w:rPr>
        <w:t>21.1询问</w:t>
      </w:r>
      <w:bookmarkEnd w:id="44"/>
    </w:p>
    <w:p>
      <w:pPr>
        <w:autoSpaceDE w:val="0"/>
        <w:autoSpaceDN w:val="0"/>
        <w:adjustRightInd w:val="0"/>
        <w:snapToGrid w:val="0"/>
        <w:spacing w:line="360" w:lineRule="auto"/>
        <w:ind w:firstLine="411" w:firstLineChars="196"/>
        <w:outlineLvl w:val="0"/>
        <w:rPr>
          <w:rFonts w:ascii="宋体" w:hAnsi="Times New Roman" w:cs="宋体"/>
          <w:b/>
        </w:rPr>
      </w:pPr>
      <w:bookmarkStart w:id="45" w:name="_Toc5581"/>
      <w:r>
        <w:rPr>
          <w:rFonts w:hint="eastAsia" w:ascii="宋体" w:hAnsi="宋体" w:cs="宋体"/>
        </w:rPr>
        <w:t>21.1.1供应商对采购活动事项有疑问的，可以向采购单位提出询问，询问可以口头方式提出，也可以书面方式提出。</w:t>
      </w:r>
      <w:bookmarkEnd w:id="45"/>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46" w:name="_Toc29058"/>
      <w:r>
        <w:rPr>
          <w:rFonts w:hint="eastAsia" w:ascii="宋体" w:hAnsi="宋体" w:cs="宋体"/>
          <w:b/>
        </w:rPr>
        <w:t>21.2质疑</w:t>
      </w:r>
      <w:bookmarkEnd w:id="46"/>
    </w:p>
    <w:p>
      <w:pPr>
        <w:autoSpaceDE w:val="0"/>
        <w:autoSpaceDN w:val="0"/>
        <w:adjustRightInd w:val="0"/>
        <w:snapToGrid w:val="0"/>
        <w:spacing w:line="360" w:lineRule="auto"/>
        <w:ind w:firstLine="411" w:firstLineChars="196"/>
        <w:outlineLvl w:val="0"/>
        <w:rPr>
          <w:rFonts w:ascii="宋体" w:hAnsi="宋体" w:cs="宋体"/>
        </w:rPr>
      </w:pPr>
      <w:bookmarkStart w:id="47" w:name="_Toc5451"/>
      <w:r>
        <w:rPr>
          <w:rFonts w:hint="eastAsia" w:ascii="宋体" w:hAnsi="宋体" w:cs="宋体"/>
        </w:rPr>
        <w:t>21.2.1质疑期限：</w:t>
      </w:r>
      <w:bookmarkEnd w:id="47"/>
    </w:p>
    <w:p>
      <w:pPr>
        <w:autoSpaceDE w:val="0"/>
        <w:autoSpaceDN w:val="0"/>
        <w:adjustRightInd w:val="0"/>
        <w:snapToGrid w:val="0"/>
        <w:spacing w:line="360" w:lineRule="auto"/>
        <w:ind w:firstLine="411" w:firstLineChars="196"/>
        <w:outlineLvl w:val="0"/>
        <w:rPr>
          <w:rFonts w:ascii="宋体" w:hAnsi="宋体" w:cs="宋体"/>
        </w:rPr>
      </w:pPr>
      <w:bookmarkStart w:id="48" w:name="_Toc24930"/>
      <w:r>
        <w:rPr>
          <w:rFonts w:hint="eastAsia" w:ascii="宋体" w:hAnsi="宋体" w:cs="宋体"/>
        </w:rPr>
        <w:t>21.2.1.1供应商认为采购文件的内容损害其权益的，应在收到采购文件之日或者采购文件公告期届满之日起七个工作日内。</w:t>
      </w:r>
      <w:bookmarkEnd w:id="48"/>
    </w:p>
    <w:p>
      <w:pPr>
        <w:autoSpaceDE w:val="0"/>
        <w:autoSpaceDN w:val="0"/>
        <w:adjustRightInd w:val="0"/>
        <w:snapToGrid w:val="0"/>
        <w:spacing w:line="360" w:lineRule="auto"/>
        <w:ind w:firstLine="411" w:firstLineChars="196"/>
        <w:outlineLvl w:val="0"/>
        <w:rPr>
          <w:rFonts w:ascii="宋体" w:hAnsi="宋体" w:cs="宋体"/>
        </w:rPr>
      </w:pPr>
      <w:bookmarkStart w:id="49" w:name="_Toc561"/>
      <w:r>
        <w:rPr>
          <w:rFonts w:hint="eastAsia" w:ascii="宋体" w:hAnsi="宋体" w:cs="宋体"/>
        </w:rPr>
        <w:t>21.2.1.2供应商认为采购过程损害其权益的，应在各采购程序环节结束之日起七个工作日内。</w:t>
      </w:r>
      <w:bookmarkEnd w:id="49"/>
    </w:p>
    <w:p>
      <w:pPr>
        <w:autoSpaceDE w:val="0"/>
        <w:autoSpaceDN w:val="0"/>
        <w:adjustRightInd w:val="0"/>
        <w:snapToGrid w:val="0"/>
        <w:spacing w:line="360" w:lineRule="auto"/>
        <w:ind w:firstLine="411" w:firstLineChars="196"/>
        <w:outlineLvl w:val="0"/>
        <w:rPr>
          <w:rFonts w:ascii="宋体" w:hAnsi="宋体" w:cs="宋体"/>
        </w:rPr>
      </w:pPr>
      <w:bookmarkStart w:id="50" w:name="_Toc20026"/>
      <w:r>
        <w:rPr>
          <w:rFonts w:hint="eastAsia" w:ascii="宋体" w:hAnsi="宋体" w:cs="宋体"/>
        </w:rPr>
        <w:t>21.2.1.3 供应商认为投标或者成交结果损害其权益的，应在投标或者成交结果公告期限届满之日起七个工作日内。</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26033"/>
      <w:r>
        <w:rPr>
          <w:rFonts w:hint="eastAsia" w:ascii="宋体" w:hAnsi="宋体" w:cs="宋体"/>
        </w:rPr>
        <w:t>21.2.2提交要求：</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2473"/>
      <w:r>
        <w:rPr>
          <w:rFonts w:hint="eastAsia" w:ascii="宋体" w:hAnsi="宋体" w:cs="宋体"/>
        </w:rPr>
        <w:t>21.2.2.1 以书面形式（加盖供应商公章）向采购人提出质疑，供应商以电话、传真或电邮形式提交的质疑属于无效质疑。</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5"/>
    </w:p>
    <w:p>
      <w:pPr>
        <w:tabs>
          <w:tab w:val="left" w:pos="1272"/>
        </w:tabs>
        <w:spacing w:line="360" w:lineRule="auto"/>
        <w:ind w:firstLine="413" w:firstLineChars="196"/>
        <w:rPr>
          <w:rFonts w:ascii="宋体" w:hAnsi="Times New Roman" w:cs="宋体"/>
          <w:b/>
        </w:rPr>
      </w:pPr>
      <w:r>
        <w:rPr>
          <w:rFonts w:hint="eastAsia" w:ascii="宋体" w:hAnsi="宋体" w:cs="宋体"/>
          <w:b/>
        </w:rPr>
        <w:t>21.3投诉</w:t>
      </w:r>
    </w:p>
    <w:p>
      <w:pPr>
        <w:tabs>
          <w:tab w:val="left" w:pos="1272"/>
        </w:tabs>
        <w:spacing w:line="360" w:lineRule="auto"/>
        <w:ind w:firstLine="420" w:firstLineChars="200"/>
        <w:rPr>
          <w:rFonts w:ascii="宋体" w:hAnsi="Times New Roman" w:cs="宋体"/>
        </w:rPr>
      </w:pPr>
      <w:r>
        <w:rPr>
          <w:rFonts w:hint="eastAsia" w:ascii="宋体" w:hAnsi="宋体" w:cs="宋体"/>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56" w:name="_Toc454458058"/>
      <w:bookmarkStart w:id="57" w:name="_Toc453493037"/>
      <w:bookmarkStart w:id="58" w:name="_Toc448133314"/>
      <w:bookmarkStart w:id="59" w:name="_Toc8524"/>
      <w:r>
        <w:rPr>
          <w:rFonts w:hint="eastAsia" w:cs="宋体"/>
          <w:sz w:val="30"/>
          <w:szCs w:val="30"/>
        </w:rPr>
        <w:t>六、授予合同</w:t>
      </w:r>
      <w:bookmarkEnd w:id="56"/>
      <w:bookmarkEnd w:id="57"/>
      <w:bookmarkEnd w:id="58"/>
      <w:bookmarkEnd w:id="59"/>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0" w:name="_Toc378586990"/>
      <w:r>
        <w:rPr>
          <w:rFonts w:hint="eastAsia" w:ascii="宋体" w:hAnsi="宋体" w:cs="宋体"/>
          <w:b/>
        </w:rPr>
        <w:t>23.合同的履行</w:t>
      </w:r>
      <w:bookmarkEnd w:id="60"/>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pgSz w:w="11906" w:h="16838"/>
          <w:pgMar w:top="1440" w:right="1800" w:bottom="1440" w:left="1800" w:header="851" w:footer="992" w:gutter="0"/>
          <w:pgNumType w:start="1"/>
          <w:cols w:space="720"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720" w:num="1"/>
          <w:docGrid w:type="linesAndChars" w:linePitch="312" w:charSpace="0"/>
        </w:sectPr>
      </w:pPr>
    </w:p>
    <w:p>
      <w:pPr>
        <w:pStyle w:val="3"/>
        <w:jc w:val="center"/>
        <w:rPr>
          <w:sz w:val="36"/>
          <w:szCs w:val="36"/>
        </w:rPr>
      </w:pPr>
      <w:bookmarkStart w:id="61" w:name="_Toc454458060"/>
      <w:bookmarkStart w:id="62" w:name="_Toc50691023"/>
      <w:bookmarkStart w:id="63" w:name="_Toc50737322"/>
      <w:bookmarkStart w:id="64" w:name="_Toc50736470"/>
      <w:bookmarkStart w:id="65" w:name="_Toc50737290"/>
      <w:bookmarkStart w:id="66" w:name="_Toc87417452"/>
      <w:bookmarkStart w:id="67" w:name="_Toc4423"/>
      <w:bookmarkStart w:id="68" w:name="_Toc43264513"/>
      <w:r>
        <w:rPr>
          <w:rFonts w:hint="eastAsia"/>
          <w:sz w:val="36"/>
          <w:szCs w:val="36"/>
        </w:rPr>
        <w:t>第四章 合同</w:t>
      </w:r>
      <w:bookmarkEnd w:id="61"/>
      <w:bookmarkEnd w:id="62"/>
      <w:bookmarkEnd w:id="63"/>
      <w:bookmarkEnd w:id="64"/>
      <w:bookmarkEnd w:id="65"/>
      <w:bookmarkEnd w:id="66"/>
      <w:r>
        <w:rPr>
          <w:rFonts w:hint="eastAsia"/>
          <w:sz w:val="36"/>
          <w:szCs w:val="36"/>
        </w:rPr>
        <w:t>格式</w:t>
      </w:r>
      <w:bookmarkEnd w:id="67"/>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68"/>
    <w:p>
      <w:pPr>
        <w:pStyle w:val="3"/>
        <w:spacing w:line="360" w:lineRule="auto"/>
        <w:jc w:val="center"/>
        <w:rPr>
          <w:rFonts w:ascii="宋体"/>
          <w:sz w:val="52"/>
          <w:szCs w:val="52"/>
        </w:rPr>
      </w:pPr>
      <w:bookmarkStart w:id="69" w:name="_Toc17156"/>
      <w:r>
        <w:rPr>
          <w:rFonts w:hint="eastAsia" w:ascii="宋体" w:hAnsi="宋体" w:cs="宋体"/>
          <w:sz w:val="52"/>
          <w:szCs w:val="52"/>
        </w:rPr>
        <w:t>合　同　书</w:t>
      </w:r>
      <w:bookmarkEnd w:id="69"/>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rPr>
      </w:pPr>
      <w:bookmarkStart w:id="70" w:name="_Hlk38299433"/>
      <w:r>
        <w:rPr>
          <w:rFonts w:hint="eastAsia" w:ascii="宋体" w:hAnsi="宋体" w:cs="宋体"/>
          <w:b/>
          <w:bCs/>
        </w:rPr>
        <w:t>注：合同签订双方根据项目的具体要求进行修订，不作统一格式要求。</w:t>
      </w:r>
    </w:p>
    <w:bookmarkEnd w:id="70"/>
    <w:p>
      <w:pPr>
        <w:rPr>
          <w:rFonts w:ascii="宋体" w:hAnsi="Times New Roman"/>
        </w:rPr>
        <w:sectPr>
          <w:pgSz w:w="11906" w:h="16838"/>
          <w:pgMar w:top="1135" w:right="1135" w:bottom="1135" w:left="1135" w:header="685" w:footer="567" w:gutter="0"/>
          <w:cols w:space="720" w:num="1"/>
          <w:docGrid w:type="lines" w:linePitch="312" w:charSpace="0"/>
        </w:sectPr>
      </w:pPr>
    </w:p>
    <w:p>
      <w:pPr>
        <w:pStyle w:val="3"/>
        <w:jc w:val="center"/>
        <w:rPr>
          <w:sz w:val="36"/>
          <w:szCs w:val="36"/>
        </w:rPr>
      </w:pPr>
      <w:bookmarkStart w:id="71" w:name="_Toc43264514"/>
      <w:bookmarkEnd w:id="71"/>
      <w:bookmarkStart w:id="72" w:name="_Toc50691026"/>
      <w:bookmarkStart w:id="73" w:name="_Toc87417454"/>
      <w:bookmarkStart w:id="74" w:name="_Toc50737292"/>
      <w:bookmarkStart w:id="75" w:name="_Toc50736472"/>
      <w:bookmarkStart w:id="76" w:name="_Toc30130"/>
      <w:bookmarkStart w:id="77" w:name="_Toc454458061"/>
      <w:bookmarkStart w:id="78" w:name="_Toc50737324"/>
      <w:r>
        <w:rPr>
          <w:rFonts w:hint="eastAsia"/>
          <w:sz w:val="36"/>
          <w:szCs w:val="36"/>
        </w:rPr>
        <w:t>第五章 响应文件格式</w:t>
      </w:r>
      <w:bookmarkEnd w:id="72"/>
      <w:bookmarkEnd w:id="73"/>
      <w:bookmarkEnd w:id="74"/>
      <w:bookmarkEnd w:id="75"/>
      <w:bookmarkEnd w:id="76"/>
      <w:bookmarkEnd w:id="77"/>
      <w:bookmarkEnd w:id="78"/>
    </w:p>
    <w:p>
      <w:pPr>
        <w:pStyle w:val="2"/>
        <w:widowControl/>
        <w:spacing w:line="440" w:lineRule="exact"/>
        <w:jc w:val="center"/>
        <w:rPr>
          <w:rFonts w:ascii="宋体" w:hAnsi="宋体" w:eastAsia="宋体" w:cs="宋体"/>
          <w:b w:val="0"/>
        </w:rPr>
      </w:pPr>
      <w:bookmarkStart w:id="79" w:name="_Toc454458062"/>
      <w:bookmarkStart w:id="80" w:name="_Toc453493041"/>
      <w:bookmarkStart w:id="81" w:name="_Toc448133318"/>
      <w:bookmarkStart w:id="82" w:name="_Toc321408662"/>
      <w:r>
        <w:rPr>
          <w:rFonts w:hint="eastAsia" w:ascii="宋体" w:hAnsi="宋体" w:eastAsia="宋体" w:cs="宋体"/>
          <w:b w:val="0"/>
        </w:rPr>
        <w:t>响应文件封面</w:t>
      </w:r>
      <w:bookmarkEnd w:id="79"/>
      <w:bookmarkEnd w:id="80"/>
      <w:bookmarkEnd w:id="81"/>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2"/>
    </w:tbl>
    <w:p>
      <w:pPr>
        <w:outlineLvl w:val="1"/>
        <w:rPr>
          <w:rFonts w:ascii="宋体" w:hAnsi="Times New Roman" w:cs="宋体"/>
          <w:kern w:val="0"/>
        </w:rPr>
      </w:pPr>
    </w:p>
    <w:p>
      <w:pPr>
        <w:pStyle w:val="34"/>
        <w:ind w:firstLine="210"/>
      </w:pPr>
    </w:p>
    <w:p>
      <w:pPr>
        <w:pStyle w:val="31"/>
        <w:widowControl w:val="0"/>
        <w:numPr>
          <w:ilvl w:val="0"/>
          <w:numId w:val="2"/>
        </w:numPr>
        <w:tabs>
          <w:tab w:val="left" w:pos="720"/>
        </w:tabs>
        <w:spacing w:before="0" w:beforeAutospacing="0" w:after="0" w:afterAutospacing="0"/>
        <w:rPr>
          <w:rFonts w:ascii="Arial" w:hAnsi="Arial" w:eastAsia="黑体"/>
          <w:sz w:val="28"/>
          <w:szCs w:val="28"/>
        </w:rPr>
      </w:pPr>
      <w:bookmarkStart w:id="83" w:name="_Toc52165077"/>
      <w:bookmarkStart w:id="84" w:name="_Toc50736473"/>
      <w:bookmarkStart w:id="85" w:name="_Toc168212179"/>
      <w:bookmarkStart w:id="86" w:name="_Toc50737325"/>
      <w:bookmarkStart w:id="87" w:name="_Toc50691028"/>
      <w:bookmarkStart w:id="88" w:name="_Toc50737293"/>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3"/>
      <w:bookmarkEnd w:id="84"/>
      <w:bookmarkEnd w:id="85"/>
      <w:bookmarkEnd w:id="86"/>
      <w:bookmarkEnd w:id="87"/>
      <w:bookmarkEnd w:id="88"/>
    </w:p>
    <w:p>
      <w:pPr>
        <w:spacing w:line="360" w:lineRule="auto"/>
        <w:ind w:left="105" w:leftChars="50" w:firstLine="2"/>
        <w:rPr>
          <w:rFonts w:ascii="宋体" w:hAnsi="Times New Roman" w:cs="宋体"/>
          <w:b/>
        </w:rPr>
      </w:pPr>
      <w:r>
        <w:rPr>
          <w:rFonts w:hint="eastAsia" w:ascii="宋体" w:hAnsi="宋体" w:cs="宋体"/>
          <w:b/>
        </w:rPr>
        <w:t>致：广西南宁技师学院</w:t>
      </w:r>
    </w:p>
    <w:p>
      <w:pPr>
        <w:spacing w:line="360" w:lineRule="auto"/>
        <w:ind w:firstLine="420" w:firstLineChars="200"/>
        <w:rPr>
          <w:rFonts w:ascii="宋体" w:hAnsi="Times New Roman" w:cs="宋体"/>
        </w:rPr>
      </w:pPr>
      <w:r>
        <w:rPr>
          <w:rFonts w:hint="eastAsia" w:ascii="宋体" w:hAnsi="宋体" w:cs="宋体"/>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rPr>
        <w:t>的询价文件（项目编号：</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(供应商名称、地址)   </w:t>
      </w:r>
      <w:r>
        <w:rPr>
          <w:rFonts w:hint="eastAsia" w:ascii="宋体" w:hAnsi="宋体" w:cs="宋体"/>
        </w:rPr>
        <w:t>作为供应商已正式授权</w:t>
      </w:r>
      <w:r>
        <w:rPr>
          <w:rFonts w:hint="eastAsia" w:ascii="宋体" w:hAnsi="宋体" w:cs="宋体"/>
          <w:u w:val="single"/>
        </w:rPr>
        <w:t xml:space="preserve">    (供应商授权代表全名、职务)   </w:t>
      </w:r>
      <w:r>
        <w:rPr>
          <w:rFonts w:hint="eastAsia" w:ascii="宋体" w:hAnsi="宋体" w:cs="宋体"/>
        </w:rPr>
        <w:t>，代表我方提交响应文件进行询价并签署本项目的相关文件。</w:t>
      </w:r>
    </w:p>
    <w:p>
      <w:pPr>
        <w:spacing w:line="360" w:lineRule="auto"/>
        <w:ind w:firstLine="420" w:firstLineChars="200"/>
        <w:rPr>
          <w:rFonts w:ascii="宋体" w:hAnsi="Times New Roman" w:cs="宋体"/>
        </w:rPr>
      </w:pPr>
      <w:r>
        <w:rPr>
          <w:rFonts w:hint="eastAsia" w:ascii="宋体" w:hAnsi="宋体" w:cs="宋体"/>
        </w:rPr>
        <w:t>授权代表在此声明并同意：</w:t>
      </w:r>
    </w:p>
    <w:p>
      <w:pPr>
        <w:adjustRightInd w:val="0"/>
        <w:snapToGrid w:val="0"/>
        <w:spacing w:line="400" w:lineRule="exact"/>
        <w:ind w:firstLine="420" w:firstLineChars="200"/>
        <w:rPr>
          <w:rFonts w:ascii="宋体" w:hAnsi="Times New Roman" w:cs="宋体"/>
        </w:rPr>
      </w:pPr>
      <w:r>
        <w:rPr>
          <w:rFonts w:hint="eastAsia" w:ascii="宋体" w:hAnsi="宋体" w:cs="宋体"/>
        </w:rPr>
        <w:t>1.我们愿意遵守采购人询价文件的各项规定，自愿参加询价</w:t>
      </w:r>
      <w:r>
        <w:rPr>
          <w:rFonts w:hint="eastAsia" w:ascii="宋体" w:hAnsi="Times New Roman" w:cs="宋体"/>
        </w:rPr>
        <w:t>,</w:t>
      </w:r>
      <w:r>
        <w:rPr>
          <w:rFonts w:hint="eastAsia" w:ascii="宋体" w:hAnsi="宋体" w:cs="宋体"/>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rPr>
      </w:pPr>
      <w:r>
        <w:rPr>
          <w:rFonts w:hint="eastAsia" w:ascii="宋体" w:hAnsi="宋体" w:cs="宋体"/>
        </w:rPr>
        <w:t>2.我们同意本响应文件自询价开始之日起</w:t>
      </w:r>
      <w:r>
        <w:rPr>
          <w:rFonts w:hint="eastAsia" w:ascii="宋体" w:hAnsi="宋体" w:cs="宋体"/>
          <w:u w:val="single"/>
        </w:rPr>
        <w:t>90</w:t>
      </w:r>
      <w:r>
        <w:rPr>
          <w:rFonts w:hint="eastAsia" w:ascii="宋体" w:hAnsi="宋体" w:cs="宋体"/>
        </w:rPr>
        <w:t>天内有效。</w:t>
      </w:r>
    </w:p>
    <w:p>
      <w:pPr>
        <w:adjustRightInd w:val="0"/>
        <w:snapToGrid w:val="0"/>
        <w:spacing w:line="400" w:lineRule="exact"/>
        <w:ind w:firstLine="420" w:firstLineChars="200"/>
        <w:rPr>
          <w:rFonts w:ascii="宋体" w:hAnsi="Times New Roman" w:cs="宋体"/>
        </w:rPr>
      </w:pPr>
      <w:r>
        <w:rPr>
          <w:rFonts w:hint="eastAsia" w:ascii="宋体" w:hAnsi="宋体" w:cs="宋体"/>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rPr>
      </w:pPr>
      <w:r>
        <w:rPr>
          <w:rFonts w:hint="eastAsia" w:ascii="宋体" w:hAnsi="宋体" w:cs="宋体"/>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rPr>
      </w:pPr>
      <w:r>
        <w:rPr>
          <w:rFonts w:hint="eastAsia" w:ascii="宋体" w:hAnsi="宋体" w:cs="宋体"/>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rPr>
      </w:pPr>
      <w:r>
        <w:rPr>
          <w:rFonts w:hint="eastAsia" w:ascii="宋体" w:hAnsi="宋体" w:cs="宋体"/>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rPr>
      </w:pPr>
      <w:r>
        <w:rPr>
          <w:rFonts w:hint="eastAsia" w:ascii="宋体" w:hAnsi="宋体" w:cs="宋体"/>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u w:val="single"/>
        </w:rPr>
      </w:pPr>
    </w:p>
    <w:p>
      <w:pPr>
        <w:adjustRightInd w:val="0"/>
        <w:snapToGrid w:val="0"/>
        <w:spacing w:line="400" w:lineRule="exact"/>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adjustRightInd w:val="0"/>
        <w:snapToGrid w:val="0"/>
        <w:spacing w:line="360" w:lineRule="auto"/>
        <w:ind w:firstLine="472" w:firstLineChars="225"/>
        <w:rPr>
          <w:rFonts w:ascii="宋体" w:hAnsi="Times New Roman" w:cs="宋体"/>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2"/>
        </w:numPr>
        <w:tabs>
          <w:tab w:val="left" w:pos="720"/>
        </w:tabs>
        <w:spacing w:line="400" w:lineRule="exact"/>
        <w:rPr>
          <w:rFonts w:ascii="黑体" w:hAnsi="Times New Roman" w:eastAsia="黑体" w:cs="黑体"/>
          <w:sz w:val="28"/>
          <w:szCs w:val="28"/>
        </w:rPr>
      </w:pPr>
      <w:bookmarkStart w:id="89" w:name="_Toc43264516"/>
      <w:bookmarkStart w:id="90" w:name="_Toc50703722"/>
      <w:bookmarkStart w:id="91" w:name="_Toc50691029"/>
    </w:p>
    <w:p>
      <w:pPr>
        <w:jc w:val="center"/>
        <w:outlineLvl w:val="1"/>
        <w:rPr>
          <w:rFonts w:ascii="黑体" w:hAnsi="宋体" w:eastAsia="黑体" w:cs="黑体"/>
          <w:kern w:val="0"/>
          <w:sz w:val="32"/>
          <w:szCs w:val="32"/>
        </w:rPr>
      </w:pPr>
      <w:bookmarkStart w:id="92" w:name="_Toc237145559"/>
      <w:r>
        <w:rPr>
          <w:rFonts w:hint="eastAsia" w:ascii="黑体" w:hAnsi="宋体" w:eastAsia="黑体" w:cs="黑体"/>
          <w:kern w:val="0"/>
          <w:sz w:val="32"/>
          <w:szCs w:val="32"/>
        </w:rPr>
        <w:t>供应商资格声明函</w:t>
      </w:r>
      <w:bookmarkEnd w:id="92"/>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spacing w:line="360" w:lineRule="auto"/>
        <w:ind w:firstLine="527" w:firstLineChars="250"/>
        <w:rPr>
          <w:rFonts w:ascii="宋体" w:hAnsi="Times New Roman" w:cs="宋体"/>
          <w:b/>
          <w:bCs/>
          <w:lang w:val="zh-CN"/>
        </w:rPr>
      </w:pPr>
      <w:r>
        <w:rPr>
          <w:rFonts w:hint="eastAsia" w:ascii="宋体" w:hAnsi="Times New Roman" w:cs="宋体"/>
          <w:b/>
          <w:bCs/>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pStyle w:val="2"/>
        <w:rPr>
          <w:rFonts w:ascii="宋体" w:hAnsi="宋体" w:eastAsia="宋体" w:cs="宋体"/>
          <w:b w:val="0"/>
          <w:bCs w:val="0"/>
          <w:sz w:val="21"/>
          <w:szCs w:val="21"/>
        </w:rPr>
      </w:pPr>
    </w:p>
    <w:p/>
    <w:p>
      <w:pPr>
        <w:spacing w:line="360" w:lineRule="auto"/>
        <w:ind w:left="425" w:hanging="5"/>
        <w:rPr>
          <w:rFonts w:ascii="宋体" w:hAnsi="宋体" w:cs="宋体"/>
        </w:rPr>
      </w:pPr>
    </w:p>
    <w:p>
      <w:pPr>
        <w:pStyle w:val="2"/>
      </w:pPr>
    </w:p>
    <w:p>
      <w:pPr>
        <w:numPr>
          <w:ilvl w:val="0"/>
          <w:numId w:val="2"/>
        </w:numPr>
        <w:tabs>
          <w:tab w:val="left" w:pos="720"/>
        </w:tabs>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2"/>
        </w:numPr>
        <w:tabs>
          <w:tab w:val="left" w:pos="720"/>
        </w:tabs>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3" w:name="_Toc20491"/>
      <w:r>
        <w:rPr>
          <w:rFonts w:hint="eastAsia" w:ascii="黑体" w:hAnsi="宋体" w:eastAsia="黑体" w:cs="黑体"/>
          <w:kern w:val="0"/>
          <w:sz w:val="31"/>
          <w:szCs w:val="31"/>
        </w:rPr>
        <w:t>法定代表人证明书</w:t>
      </w:r>
    </w:p>
    <w:p>
      <w:pPr>
        <w:widowControl/>
        <w:spacing w:line="360" w:lineRule="auto"/>
        <w:ind w:firstLine="1050" w:firstLineChars="500"/>
        <w:jc w:val="left"/>
        <w:rPr>
          <w:rFonts w:cs="Times New Roman"/>
        </w:rPr>
      </w:pPr>
      <w:r>
        <w:rPr>
          <w:rFonts w:ascii="宋体" w:hAnsi="宋体" w:cs="宋体"/>
          <w:kern w:val="0"/>
        </w:rPr>
        <w:t>______________</w:t>
      </w:r>
      <w:r>
        <w:rPr>
          <w:rFonts w:hint="eastAsia" w:ascii="宋体" w:hAnsi="宋体" w:cs="宋体"/>
          <w:kern w:val="0"/>
        </w:rPr>
        <w:t>同志，现任我单位</w:t>
      </w:r>
      <w:r>
        <w:rPr>
          <w:rFonts w:ascii="宋体" w:hAnsi="宋体" w:cs="宋体"/>
          <w:kern w:val="0"/>
          <w:u w:val="single"/>
        </w:rPr>
        <w:t xml:space="preserve">        </w:t>
      </w:r>
      <w:r>
        <w:rPr>
          <w:rFonts w:hint="eastAsia" w:ascii="宋体" w:hAnsi="宋体" w:cs="宋体"/>
          <w:kern w:val="0"/>
        </w:rPr>
        <w:t>职务，为法定代表人，特此证明。</w:t>
      </w:r>
      <w:r>
        <w:rPr>
          <w:rFonts w:ascii="宋体" w:hAnsi="宋体" w:cs="宋体"/>
          <w:kern w:val="0"/>
        </w:rPr>
        <w:t xml:space="preserve"> </w:t>
      </w:r>
    </w:p>
    <w:p>
      <w:pPr>
        <w:widowControl/>
        <w:spacing w:line="360" w:lineRule="auto"/>
        <w:ind w:firstLine="630" w:firstLineChars="300"/>
        <w:jc w:val="left"/>
        <w:rPr>
          <w:rFonts w:cs="Times New Roman"/>
        </w:rPr>
      </w:pPr>
      <w:r>
        <w:rPr>
          <w:rFonts w:hint="eastAsia" w:ascii="宋体" w:hAnsi="宋体" w:cs="宋体"/>
          <w:kern w:val="0"/>
        </w:rPr>
        <w:t>本证明书自签发之日起生效，有效期与本公司响应文件成交注的投标有效期相同。</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附：</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营业执照（注册号）：</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经济性质：</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主营（产）：</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兼营（产）：</w:t>
      </w:r>
    </w:p>
    <w:tbl>
      <w:tblPr>
        <w:tblStyle w:val="35"/>
        <w:tblpPr w:leftFromText="180" w:rightFromText="180" w:vertAnchor="text" w:horzAnchor="page" w:tblpX="1584" w:tblpY="4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kern w:val="0"/>
        </w:rPr>
        <w:t>供应商名称（单位盖公章）：</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地址：</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签发日期：</w:t>
      </w:r>
      <w:r>
        <w:rPr>
          <w:rFonts w:ascii="宋体" w:hAnsi="宋体" w:cs="宋体"/>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4" w:name="_Toc24361"/>
      <w:r>
        <w:rPr>
          <w:rFonts w:hint="eastAsia" w:ascii="宋体" w:hAnsi="宋体" w:cs="宋体"/>
          <w:sz w:val="32"/>
          <w:szCs w:val="32"/>
        </w:rPr>
        <w:t>法定代表人授权委托书</w:t>
      </w:r>
      <w:bookmarkEnd w:id="93"/>
      <w:bookmarkEnd w:id="94"/>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kern w:val="0"/>
        </w:rPr>
        <w:t>本授权委托书声明：注册于</w:t>
      </w:r>
      <w:r>
        <w:rPr>
          <w:rFonts w:ascii="宋体" w:hAnsi="宋体" w:cs="宋体"/>
          <w:kern w:val="0"/>
          <w:u w:val="single"/>
        </w:rPr>
        <w:t xml:space="preserve"> </w:t>
      </w:r>
      <w:r>
        <w:rPr>
          <w:rFonts w:hint="eastAsia" w:ascii="宋体" w:hAnsi="宋体" w:cs="宋体"/>
          <w:kern w:val="0"/>
          <w:u w:val="single"/>
        </w:rPr>
        <w:t>（供应商地址）</w:t>
      </w:r>
      <w:r>
        <w:rPr>
          <w:rFonts w:ascii="宋体" w:hAnsi="宋体" w:cs="宋体"/>
          <w:kern w:val="0"/>
          <w:u w:val="single"/>
        </w:rPr>
        <w:t xml:space="preserve"> </w:t>
      </w:r>
      <w:r>
        <w:rPr>
          <w:rFonts w:hint="eastAsia" w:ascii="宋体" w:hAnsi="宋体" w:cs="宋体"/>
          <w:kern w:val="0"/>
        </w:rPr>
        <w:t>的</w:t>
      </w:r>
      <w:r>
        <w:rPr>
          <w:rFonts w:ascii="宋体" w:hAnsi="宋体" w:cs="宋体"/>
          <w:kern w:val="0"/>
          <w:u w:val="single"/>
        </w:rPr>
        <w:t xml:space="preserve"> </w:t>
      </w:r>
      <w:r>
        <w:rPr>
          <w:rFonts w:hint="eastAsia" w:ascii="宋体" w:hAnsi="宋体" w:cs="宋体"/>
          <w:kern w:val="0"/>
          <w:u w:val="single"/>
        </w:rPr>
        <w:t>（单位名称）</w:t>
      </w:r>
      <w:r>
        <w:rPr>
          <w:rFonts w:ascii="宋体" w:hAnsi="宋体" w:cs="宋体"/>
          <w:kern w:val="0"/>
          <w:u w:val="single"/>
        </w:rPr>
        <w:t xml:space="preserve"> </w:t>
      </w:r>
      <w:r>
        <w:rPr>
          <w:rFonts w:hint="eastAsia" w:ascii="宋体" w:hAnsi="宋体" w:cs="宋体"/>
          <w:kern w:val="0"/>
        </w:rPr>
        <w:t>在下面签名的</w:t>
      </w:r>
      <w:r>
        <w:rPr>
          <w:rFonts w:hint="eastAsia" w:ascii="宋体" w:hAnsi="宋体" w:cs="宋体"/>
          <w:kern w:val="0"/>
          <w:u w:val="single"/>
        </w:rPr>
        <w:t>（法定代表人姓名、职务）</w:t>
      </w:r>
      <w:r>
        <w:rPr>
          <w:rFonts w:hint="eastAsia" w:ascii="宋体" w:hAnsi="宋体" w:cs="宋体"/>
          <w:kern w:val="0"/>
        </w:rPr>
        <w:t>在此授权</w:t>
      </w:r>
      <w:r>
        <w:rPr>
          <w:rFonts w:hint="eastAsia" w:ascii="宋体" w:hAnsi="宋体" w:cs="宋体"/>
          <w:kern w:val="0"/>
          <w:u w:val="single"/>
        </w:rPr>
        <w:t>（被授权人姓名、职务）</w:t>
      </w:r>
      <w:r>
        <w:rPr>
          <w:rFonts w:hint="eastAsia" w:ascii="宋体" w:hAnsi="宋体" w:cs="宋体"/>
          <w:kern w:val="0"/>
        </w:rPr>
        <w:t>作为我公司的合法代理人，就</w:t>
      </w:r>
      <w:r>
        <w:rPr>
          <w:rFonts w:hint="eastAsia" w:ascii="宋体" w:hAnsi="宋体" w:cs="宋体"/>
          <w:kern w:val="0"/>
          <w:u w:val="single"/>
        </w:rPr>
        <w:t>（项目名称、项目编号）</w:t>
      </w:r>
      <w:r>
        <w:rPr>
          <w:rFonts w:hint="eastAsia" w:ascii="宋体" w:hAnsi="宋体" w:cs="宋体"/>
          <w:kern w:val="0"/>
        </w:rPr>
        <w:t>的招投标活动，采购合同的签订、执行、完成和售后服务，作为供应商代表以我方的名义处理一切与之有关的事务。</w:t>
      </w:r>
      <w:r>
        <w:rPr>
          <w:rFonts w:ascii="宋体" w:hAnsi="宋体" w:cs="宋体"/>
          <w:kern w:val="0"/>
        </w:rPr>
        <w:t xml:space="preserve"> </w:t>
      </w:r>
    </w:p>
    <w:p>
      <w:pPr>
        <w:widowControl/>
        <w:spacing w:line="360" w:lineRule="auto"/>
        <w:ind w:firstLine="420" w:firstLineChars="200"/>
        <w:jc w:val="left"/>
        <w:rPr>
          <w:rFonts w:cs="Times New Roman"/>
        </w:rPr>
      </w:pPr>
      <w:r>
        <w:rPr>
          <w:rFonts w:hint="eastAsia" w:ascii="宋体" w:hAnsi="宋体" w:cs="宋体"/>
          <w:kern w:val="0"/>
        </w:rPr>
        <w:t>被授权人（供应商授权代表）无转委托权限。</w:t>
      </w:r>
      <w:r>
        <w:rPr>
          <w:rFonts w:ascii="宋体" w:hAnsi="宋体" w:cs="宋体"/>
          <w:kern w:val="0"/>
        </w:rPr>
        <w:t xml:space="preserve"> </w:t>
      </w:r>
    </w:p>
    <w:p>
      <w:pPr>
        <w:widowControl/>
        <w:spacing w:line="360" w:lineRule="auto"/>
        <w:ind w:firstLine="420" w:firstLineChars="200"/>
        <w:jc w:val="left"/>
        <w:rPr>
          <w:rFonts w:ascii="宋体" w:cs="Times New Roman"/>
          <w:kern w:val="0"/>
        </w:rPr>
      </w:pPr>
      <w:r>
        <w:rPr>
          <w:rFonts w:hint="eastAsia" w:ascii="宋体" w:hAnsi="宋体" w:cs="宋体"/>
          <w:kern w:val="0"/>
        </w:rPr>
        <w:t>本授权书自法定代表人签字之日起生效，特此声明。</w:t>
      </w:r>
      <w:r>
        <w:rPr>
          <w:rFonts w:ascii="宋体" w:hAnsi="宋体" w:cs="宋体"/>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kern w:val="0"/>
        </w:rPr>
        <w:t>供应商名称（单位盖公章）：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r>
        <w:rPr>
          <w:rFonts w:ascii="宋体" w:hAnsi="宋体" w:cs="宋体"/>
          <w:kern w:val="0"/>
        </w:rPr>
        <w:t xml:space="preserve"> </w:t>
      </w:r>
    </w:p>
    <w:p>
      <w:pPr>
        <w:widowControl/>
        <w:spacing w:line="360" w:lineRule="auto"/>
        <w:jc w:val="left"/>
        <w:rPr>
          <w:rFonts w:ascii="宋体" w:cs="Times New Roman"/>
          <w:kern w:val="0"/>
        </w:rPr>
      </w:pPr>
    </w:p>
    <w:p>
      <w:pPr>
        <w:widowControl/>
        <w:spacing w:line="360" w:lineRule="auto"/>
        <w:jc w:val="left"/>
        <w:rPr>
          <w:rFonts w:ascii="宋体" w:cs="Times New Roman"/>
          <w:b/>
          <w:bCs/>
          <w:kern w:val="0"/>
        </w:rPr>
      </w:pPr>
      <w:r>
        <w:rPr>
          <w:rFonts w:hint="eastAsia" w:ascii="宋体" w:hAnsi="宋体" w:cs="宋体"/>
          <w:b/>
          <w:bCs/>
          <w:kern w:val="0"/>
        </w:rPr>
        <w:t>法定代表人（签字或盖章）：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签字日期：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bl>
      <w:tblPr>
        <w:tblStyle w:val="35"/>
        <w:tblpPr w:leftFromText="180" w:rightFromText="180" w:vertAnchor="text" w:horzAnchor="page" w:tblpX="1209"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rPr>
      </w:pPr>
    </w:p>
    <w:p>
      <w:pPr>
        <w:spacing w:line="460" w:lineRule="exact"/>
        <w:rPr>
          <w:b/>
        </w:rPr>
      </w:pPr>
    </w:p>
    <w:p>
      <w:pPr>
        <w:spacing w:line="460" w:lineRule="exact"/>
        <w:rPr>
          <w:b/>
        </w:rPr>
      </w:pPr>
    </w:p>
    <w:p>
      <w:pPr>
        <w:spacing w:line="460" w:lineRule="exact"/>
        <w:rPr>
          <w:b/>
        </w:rPr>
      </w:pPr>
    </w:p>
    <w:p>
      <w:pPr>
        <w:rPr>
          <w:b/>
        </w:rPr>
      </w:pPr>
    </w:p>
    <w:p>
      <w:pPr>
        <w:rPr>
          <w:b/>
        </w:rPr>
      </w:pPr>
    </w:p>
    <w:p>
      <w:pPr>
        <w:rPr>
          <w:b/>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2"/>
        </w:numPr>
        <w:tabs>
          <w:tab w:val="left" w:pos="720"/>
        </w:tabs>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3"/>
              </w:numPr>
              <w:tabs>
                <w:tab w:val="left" w:pos="720"/>
              </w:tabs>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2"/>
        </w:numPr>
        <w:tabs>
          <w:tab w:val="left" w:pos="720"/>
        </w:tabs>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5" w:name="_Toc21165"/>
      <w:r>
        <w:rPr>
          <w:rFonts w:hint="eastAsia" w:ascii="宋体" w:hAnsi="宋体" w:cs="宋体"/>
          <w:sz w:val="32"/>
          <w:szCs w:val="32"/>
        </w:rPr>
        <w:t>报价表</w:t>
      </w:r>
      <w:bookmarkEnd w:id="95"/>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6"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6"/>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4"/>
        </w:numPr>
        <w:tabs>
          <w:tab w:val="left" w:pos="720"/>
          <w:tab w:val="left" w:pos="28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4"/>
        </w:numPr>
        <w:tabs>
          <w:tab w:val="left" w:pos="720"/>
          <w:tab w:val="left" w:pos="28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4"/>
        </w:numPr>
        <w:tabs>
          <w:tab w:val="left" w:pos="720"/>
          <w:tab w:val="left" w:pos="28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4"/>
        </w:numPr>
        <w:tabs>
          <w:tab w:val="left" w:pos="720"/>
          <w:tab w:val="left" w:pos="28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89"/>
    <w:bookmarkEnd w:id="90"/>
    <w:bookmarkEnd w:id="91"/>
    <w:p>
      <w:pPr>
        <w:spacing w:line="400" w:lineRule="exact"/>
        <w:rPr>
          <w:szCs w:val="24"/>
        </w:rPr>
        <w:sectPr>
          <w:pgSz w:w="11906" w:h="16838"/>
          <w:pgMar w:top="1135" w:right="1135" w:bottom="1135" w:left="1135" w:header="699" w:footer="567" w:gutter="0"/>
          <w:cols w:space="720" w:num="1"/>
          <w:docGrid w:type="lines" w:linePitch="312" w:charSpace="0"/>
        </w:sectPr>
      </w:pPr>
      <w:bookmarkStart w:id="97" w:name="_Toc173647298"/>
      <w:r>
        <w:rPr>
          <w:szCs w:val="24"/>
        </w:rPr>
        <w:t xml:space="preserve"> </w:t>
      </w:r>
    </w:p>
    <w:bookmarkEnd w:id="97"/>
    <w:p>
      <w:pPr>
        <w:numPr>
          <w:ilvl w:val="0"/>
          <w:numId w:val="2"/>
        </w:numPr>
        <w:tabs>
          <w:tab w:val="left" w:pos="720"/>
        </w:tabs>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bookmarkStart w:id="98" w:name="_Toc2840"/>
      <w:r>
        <w:rPr>
          <w:rFonts w:hint="eastAsia" w:ascii="宋体" w:hAnsi="宋体" w:cs="宋体"/>
          <w:sz w:val="32"/>
          <w:szCs w:val="32"/>
        </w:rPr>
        <w:t>供应商认为需要提供的其他资料</w:t>
      </w:r>
      <w:bookmarkEnd w:id="98"/>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0" w:type="auto"/>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9373" w:type="dxa"/>
          <w:shd w:val="clear" w:color="auto" w:fill="auto"/>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5143"/>
    <w:multiLevelType w:val="multilevel"/>
    <w:tmpl w:val="03D6514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M2I5YTkwMTQyMzhiYWZiODNkMjFkZGQ3NzA2OGYifQ=="/>
  </w:docVars>
  <w:rsids>
    <w:rsidRoot w:val="00172A27"/>
    <w:rsid w:val="00004ED9"/>
    <w:rsid w:val="00012788"/>
    <w:rsid w:val="00013CED"/>
    <w:rsid w:val="00027EBF"/>
    <w:rsid w:val="000303E0"/>
    <w:rsid w:val="00031AE7"/>
    <w:rsid w:val="00040DA5"/>
    <w:rsid w:val="00046164"/>
    <w:rsid w:val="00053D46"/>
    <w:rsid w:val="00065ED2"/>
    <w:rsid w:val="000667C2"/>
    <w:rsid w:val="00066E92"/>
    <w:rsid w:val="0007002C"/>
    <w:rsid w:val="00080BA3"/>
    <w:rsid w:val="00082EBF"/>
    <w:rsid w:val="0008385A"/>
    <w:rsid w:val="000839E8"/>
    <w:rsid w:val="00087508"/>
    <w:rsid w:val="000949A4"/>
    <w:rsid w:val="000A0ABB"/>
    <w:rsid w:val="000A21BA"/>
    <w:rsid w:val="000A25C9"/>
    <w:rsid w:val="000A3B02"/>
    <w:rsid w:val="000A5F20"/>
    <w:rsid w:val="000A7964"/>
    <w:rsid w:val="000B56B0"/>
    <w:rsid w:val="000B7CF1"/>
    <w:rsid w:val="000D0A92"/>
    <w:rsid w:val="000D7383"/>
    <w:rsid w:val="000E05A7"/>
    <w:rsid w:val="000E1557"/>
    <w:rsid w:val="000E583B"/>
    <w:rsid w:val="000E7810"/>
    <w:rsid w:val="000F5B94"/>
    <w:rsid w:val="000F6B6A"/>
    <w:rsid w:val="00102BF7"/>
    <w:rsid w:val="00111258"/>
    <w:rsid w:val="00117E06"/>
    <w:rsid w:val="00122F34"/>
    <w:rsid w:val="00126E8C"/>
    <w:rsid w:val="001344F1"/>
    <w:rsid w:val="00141908"/>
    <w:rsid w:val="0014231F"/>
    <w:rsid w:val="00145BE4"/>
    <w:rsid w:val="00146FE9"/>
    <w:rsid w:val="00155FBB"/>
    <w:rsid w:val="001567AC"/>
    <w:rsid w:val="00172A27"/>
    <w:rsid w:val="00190328"/>
    <w:rsid w:val="0019376E"/>
    <w:rsid w:val="001A247A"/>
    <w:rsid w:val="001A57CF"/>
    <w:rsid w:val="001B73D5"/>
    <w:rsid w:val="001C28FB"/>
    <w:rsid w:val="001D0D4A"/>
    <w:rsid w:val="001D4503"/>
    <w:rsid w:val="001D5685"/>
    <w:rsid w:val="001E01F4"/>
    <w:rsid w:val="001E2859"/>
    <w:rsid w:val="001E6A25"/>
    <w:rsid w:val="001F108D"/>
    <w:rsid w:val="001F793A"/>
    <w:rsid w:val="002076DF"/>
    <w:rsid w:val="00217836"/>
    <w:rsid w:val="00221547"/>
    <w:rsid w:val="0022256D"/>
    <w:rsid w:val="00233E48"/>
    <w:rsid w:val="00234A01"/>
    <w:rsid w:val="00240026"/>
    <w:rsid w:val="00247048"/>
    <w:rsid w:val="00254C3B"/>
    <w:rsid w:val="00256DB7"/>
    <w:rsid w:val="00257B24"/>
    <w:rsid w:val="00260168"/>
    <w:rsid w:val="002622AC"/>
    <w:rsid w:val="002633C4"/>
    <w:rsid w:val="00273686"/>
    <w:rsid w:val="00275909"/>
    <w:rsid w:val="00281448"/>
    <w:rsid w:val="002827C6"/>
    <w:rsid w:val="00287C1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410B6"/>
    <w:rsid w:val="003519BA"/>
    <w:rsid w:val="00354B76"/>
    <w:rsid w:val="0036308C"/>
    <w:rsid w:val="00365ADD"/>
    <w:rsid w:val="0036658B"/>
    <w:rsid w:val="00376BDC"/>
    <w:rsid w:val="00377A80"/>
    <w:rsid w:val="00393618"/>
    <w:rsid w:val="0039629B"/>
    <w:rsid w:val="00397CE6"/>
    <w:rsid w:val="003B2EC4"/>
    <w:rsid w:val="003B3668"/>
    <w:rsid w:val="003B69B2"/>
    <w:rsid w:val="003B745E"/>
    <w:rsid w:val="003B7D41"/>
    <w:rsid w:val="003D5544"/>
    <w:rsid w:val="003E355B"/>
    <w:rsid w:val="003F4EBE"/>
    <w:rsid w:val="003F5FB2"/>
    <w:rsid w:val="00401571"/>
    <w:rsid w:val="00407584"/>
    <w:rsid w:val="00407C16"/>
    <w:rsid w:val="004128AB"/>
    <w:rsid w:val="004206AF"/>
    <w:rsid w:val="00423DAD"/>
    <w:rsid w:val="0043308C"/>
    <w:rsid w:val="00441D37"/>
    <w:rsid w:val="00446282"/>
    <w:rsid w:val="004477D0"/>
    <w:rsid w:val="004522D0"/>
    <w:rsid w:val="0045264D"/>
    <w:rsid w:val="00456605"/>
    <w:rsid w:val="00461B29"/>
    <w:rsid w:val="00464776"/>
    <w:rsid w:val="0046591A"/>
    <w:rsid w:val="0046625F"/>
    <w:rsid w:val="00467935"/>
    <w:rsid w:val="00471FC2"/>
    <w:rsid w:val="0047295E"/>
    <w:rsid w:val="00477E81"/>
    <w:rsid w:val="00484EA6"/>
    <w:rsid w:val="00484EF1"/>
    <w:rsid w:val="00486B4A"/>
    <w:rsid w:val="00486B6A"/>
    <w:rsid w:val="00492B44"/>
    <w:rsid w:val="00492E55"/>
    <w:rsid w:val="0049420F"/>
    <w:rsid w:val="00495C36"/>
    <w:rsid w:val="00496C57"/>
    <w:rsid w:val="004A1FF8"/>
    <w:rsid w:val="004A60EC"/>
    <w:rsid w:val="004A7924"/>
    <w:rsid w:val="004A7D6F"/>
    <w:rsid w:val="004B1702"/>
    <w:rsid w:val="004B25E2"/>
    <w:rsid w:val="004B4D97"/>
    <w:rsid w:val="004B532E"/>
    <w:rsid w:val="004C2828"/>
    <w:rsid w:val="004D063D"/>
    <w:rsid w:val="004D109C"/>
    <w:rsid w:val="004E38D3"/>
    <w:rsid w:val="004E4821"/>
    <w:rsid w:val="004E53B0"/>
    <w:rsid w:val="005023C4"/>
    <w:rsid w:val="0050644E"/>
    <w:rsid w:val="00511D52"/>
    <w:rsid w:val="00514F55"/>
    <w:rsid w:val="005203BB"/>
    <w:rsid w:val="005311C9"/>
    <w:rsid w:val="00532098"/>
    <w:rsid w:val="00536FE0"/>
    <w:rsid w:val="0053757A"/>
    <w:rsid w:val="00541C51"/>
    <w:rsid w:val="00545AB7"/>
    <w:rsid w:val="0056095B"/>
    <w:rsid w:val="00570199"/>
    <w:rsid w:val="0058229D"/>
    <w:rsid w:val="005873FC"/>
    <w:rsid w:val="00594CC8"/>
    <w:rsid w:val="005A334A"/>
    <w:rsid w:val="005A4AD2"/>
    <w:rsid w:val="005A55AA"/>
    <w:rsid w:val="005B4C59"/>
    <w:rsid w:val="005B6058"/>
    <w:rsid w:val="005B6322"/>
    <w:rsid w:val="005B6C65"/>
    <w:rsid w:val="005C0485"/>
    <w:rsid w:val="005C6261"/>
    <w:rsid w:val="005D13F3"/>
    <w:rsid w:val="005E40CB"/>
    <w:rsid w:val="005E6146"/>
    <w:rsid w:val="005E7DFD"/>
    <w:rsid w:val="005F0F65"/>
    <w:rsid w:val="006013FA"/>
    <w:rsid w:val="006051B7"/>
    <w:rsid w:val="006130AC"/>
    <w:rsid w:val="006165DC"/>
    <w:rsid w:val="006232E9"/>
    <w:rsid w:val="0063127C"/>
    <w:rsid w:val="006370B9"/>
    <w:rsid w:val="0064312C"/>
    <w:rsid w:val="00645BF7"/>
    <w:rsid w:val="00661532"/>
    <w:rsid w:val="00662387"/>
    <w:rsid w:val="00666122"/>
    <w:rsid w:val="00666A79"/>
    <w:rsid w:val="006706F2"/>
    <w:rsid w:val="0068211F"/>
    <w:rsid w:val="00687599"/>
    <w:rsid w:val="00693BCA"/>
    <w:rsid w:val="00696288"/>
    <w:rsid w:val="00696887"/>
    <w:rsid w:val="006A0B8E"/>
    <w:rsid w:val="006D1B7A"/>
    <w:rsid w:val="006D4BF1"/>
    <w:rsid w:val="006E23D8"/>
    <w:rsid w:val="006E2A0C"/>
    <w:rsid w:val="006E5976"/>
    <w:rsid w:val="00704B4F"/>
    <w:rsid w:val="0071025B"/>
    <w:rsid w:val="007148C7"/>
    <w:rsid w:val="007153CE"/>
    <w:rsid w:val="00720D0F"/>
    <w:rsid w:val="00722F89"/>
    <w:rsid w:val="007243ED"/>
    <w:rsid w:val="00736F42"/>
    <w:rsid w:val="00741137"/>
    <w:rsid w:val="00743D0C"/>
    <w:rsid w:val="00756DA2"/>
    <w:rsid w:val="00763E64"/>
    <w:rsid w:val="00766B76"/>
    <w:rsid w:val="00773D87"/>
    <w:rsid w:val="0077574D"/>
    <w:rsid w:val="00776906"/>
    <w:rsid w:val="00785DFF"/>
    <w:rsid w:val="00790120"/>
    <w:rsid w:val="00792379"/>
    <w:rsid w:val="00797455"/>
    <w:rsid w:val="007A255A"/>
    <w:rsid w:val="007A3860"/>
    <w:rsid w:val="007B093B"/>
    <w:rsid w:val="007B175C"/>
    <w:rsid w:val="007B45E6"/>
    <w:rsid w:val="007C0ABD"/>
    <w:rsid w:val="007C59FE"/>
    <w:rsid w:val="007D2A48"/>
    <w:rsid w:val="007D6254"/>
    <w:rsid w:val="007E0813"/>
    <w:rsid w:val="007E60B9"/>
    <w:rsid w:val="007E7F16"/>
    <w:rsid w:val="007F0237"/>
    <w:rsid w:val="007F1450"/>
    <w:rsid w:val="007F1F01"/>
    <w:rsid w:val="007F1F7A"/>
    <w:rsid w:val="007F43B3"/>
    <w:rsid w:val="007F6177"/>
    <w:rsid w:val="007F6249"/>
    <w:rsid w:val="00800EE4"/>
    <w:rsid w:val="00803437"/>
    <w:rsid w:val="00804729"/>
    <w:rsid w:val="008056C8"/>
    <w:rsid w:val="00811AF9"/>
    <w:rsid w:val="00814509"/>
    <w:rsid w:val="0082205C"/>
    <w:rsid w:val="00822C28"/>
    <w:rsid w:val="008304B5"/>
    <w:rsid w:val="00832402"/>
    <w:rsid w:val="00833CED"/>
    <w:rsid w:val="008403A4"/>
    <w:rsid w:val="008461BC"/>
    <w:rsid w:val="00850124"/>
    <w:rsid w:val="008546A8"/>
    <w:rsid w:val="00855D75"/>
    <w:rsid w:val="00862522"/>
    <w:rsid w:val="00883307"/>
    <w:rsid w:val="00885F0F"/>
    <w:rsid w:val="00894B26"/>
    <w:rsid w:val="008A05CA"/>
    <w:rsid w:val="008A40AC"/>
    <w:rsid w:val="008A412A"/>
    <w:rsid w:val="008B068B"/>
    <w:rsid w:val="008B2769"/>
    <w:rsid w:val="008C19E6"/>
    <w:rsid w:val="008C4B0F"/>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1D25"/>
    <w:rsid w:val="00944439"/>
    <w:rsid w:val="009449E8"/>
    <w:rsid w:val="0095076D"/>
    <w:rsid w:val="00952548"/>
    <w:rsid w:val="0095363C"/>
    <w:rsid w:val="009618D1"/>
    <w:rsid w:val="00964379"/>
    <w:rsid w:val="00966637"/>
    <w:rsid w:val="00966E29"/>
    <w:rsid w:val="009829D9"/>
    <w:rsid w:val="0098598F"/>
    <w:rsid w:val="00985E50"/>
    <w:rsid w:val="00993449"/>
    <w:rsid w:val="009A25AC"/>
    <w:rsid w:val="009A32A3"/>
    <w:rsid w:val="009B32CC"/>
    <w:rsid w:val="009B61CA"/>
    <w:rsid w:val="009B765F"/>
    <w:rsid w:val="009C5E03"/>
    <w:rsid w:val="009D46D2"/>
    <w:rsid w:val="009D52F5"/>
    <w:rsid w:val="009E24EA"/>
    <w:rsid w:val="009E2D9E"/>
    <w:rsid w:val="009E526A"/>
    <w:rsid w:val="009F0961"/>
    <w:rsid w:val="009F0C14"/>
    <w:rsid w:val="009F35A5"/>
    <w:rsid w:val="009F7D9A"/>
    <w:rsid w:val="00A04C92"/>
    <w:rsid w:val="00A055F7"/>
    <w:rsid w:val="00A27FF7"/>
    <w:rsid w:val="00A55819"/>
    <w:rsid w:val="00A56C65"/>
    <w:rsid w:val="00A56E5C"/>
    <w:rsid w:val="00A64FEB"/>
    <w:rsid w:val="00A664D8"/>
    <w:rsid w:val="00A66739"/>
    <w:rsid w:val="00A74E2D"/>
    <w:rsid w:val="00A768E1"/>
    <w:rsid w:val="00A81B0C"/>
    <w:rsid w:val="00A82547"/>
    <w:rsid w:val="00A85CFC"/>
    <w:rsid w:val="00A91E22"/>
    <w:rsid w:val="00A9258A"/>
    <w:rsid w:val="00A92D4A"/>
    <w:rsid w:val="00A930D3"/>
    <w:rsid w:val="00A93AB2"/>
    <w:rsid w:val="00A954CA"/>
    <w:rsid w:val="00AA159A"/>
    <w:rsid w:val="00AA46CE"/>
    <w:rsid w:val="00AB31EE"/>
    <w:rsid w:val="00AB6B3B"/>
    <w:rsid w:val="00AC2337"/>
    <w:rsid w:val="00AC5126"/>
    <w:rsid w:val="00AC7E7F"/>
    <w:rsid w:val="00AD272B"/>
    <w:rsid w:val="00AD2DAD"/>
    <w:rsid w:val="00AD77FA"/>
    <w:rsid w:val="00AE0787"/>
    <w:rsid w:val="00AE34EC"/>
    <w:rsid w:val="00AE48FC"/>
    <w:rsid w:val="00AE7BF1"/>
    <w:rsid w:val="00AF4C58"/>
    <w:rsid w:val="00B01247"/>
    <w:rsid w:val="00B02E7B"/>
    <w:rsid w:val="00B06A09"/>
    <w:rsid w:val="00B1208F"/>
    <w:rsid w:val="00B13356"/>
    <w:rsid w:val="00B15D3A"/>
    <w:rsid w:val="00B31B98"/>
    <w:rsid w:val="00B31D1A"/>
    <w:rsid w:val="00B36042"/>
    <w:rsid w:val="00B36B7A"/>
    <w:rsid w:val="00B44C6A"/>
    <w:rsid w:val="00B531DB"/>
    <w:rsid w:val="00B63EC7"/>
    <w:rsid w:val="00B64EE0"/>
    <w:rsid w:val="00B76046"/>
    <w:rsid w:val="00B7788C"/>
    <w:rsid w:val="00B8512E"/>
    <w:rsid w:val="00B85A16"/>
    <w:rsid w:val="00BA652E"/>
    <w:rsid w:val="00BB04C4"/>
    <w:rsid w:val="00BC326B"/>
    <w:rsid w:val="00BC4607"/>
    <w:rsid w:val="00BC477B"/>
    <w:rsid w:val="00BD25A7"/>
    <w:rsid w:val="00BD3B8E"/>
    <w:rsid w:val="00BE345E"/>
    <w:rsid w:val="00BE7824"/>
    <w:rsid w:val="00BF4A2E"/>
    <w:rsid w:val="00C14875"/>
    <w:rsid w:val="00C15CF5"/>
    <w:rsid w:val="00C21C4E"/>
    <w:rsid w:val="00C246FA"/>
    <w:rsid w:val="00C2553E"/>
    <w:rsid w:val="00C35C83"/>
    <w:rsid w:val="00C37A47"/>
    <w:rsid w:val="00C45E47"/>
    <w:rsid w:val="00C71BF3"/>
    <w:rsid w:val="00C7634F"/>
    <w:rsid w:val="00C83562"/>
    <w:rsid w:val="00C86E8A"/>
    <w:rsid w:val="00C8723E"/>
    <w:rsid w:val="00C91F21"/>
    <w:rsid w:val="00C9205E"/>
    <w:rsid w:val="00CA07CA"/>
    <w:rsid w:val="00CB4083"/>
    <w:rsid w:val="00CB4783"/>
    <w:rsid w:val="00CC5AE2"/>
    <w:rsid w:val="00CC749A"/>
    <w:rsid w:val="00CD248B"/>
    <w:rsid w:val="00CD2BE5"/>
    <w:rsid w:val="00CD6793"/>
    <w:rsid w:val="00CE06E3"/>
    <w:rsid w:val="00CE491E"/>
    <w:rsid w:val="00CE6BB5"/>
    <w:rsid w:val="00CF47F3"/>
    <w:rsid w:val="00D1212F"/>
    <w:rsid w:val="00D25820"/>
    <w:rsid w:val="00D26050"/>
    <w:rsid w:val="00D30579"/>
    <w:rsid w:val="00D43D77"/>
    <w:rsid w:val="00D53228"/>
    <w:rsid w:val="00D55479"/>
    <w:rsid w:val="00D6106B"/>
    <w:rsid w:val="00D61D83"/>
    <w:rsid w:val="00D6617F"/>
    <w:rsid w:val="00D76F6D"/>
    <w:rsid w:val="00D80BBE"/>
    <w:rsid w:val="00D8257B"/>
    <w:rsid w:val="00D85CBE"/>
    <w:rsid w:val="00D8694E"/>
    <w:rsid w:val="00D87C28"/>
    <w:rsid w:val="00D90AA8"/>
    <w:rsid w:val="00DA1BE1"/>
    <w:rsid w:val="00DA330E"/>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0AD7"/>
    <w:rsid w:val="00E338BC"/>
    <w:rsid w:val="00E361C3"/>
    <w:rsid w:val="00E505AE"/>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A5293"/>
    <w:rsid w:val="00EB49CA"/>
    <w:rsid w:val="00EB7009"/>
    <w:rsid w:val="00EC443E"/>
    <w:rsid w:val="00EC4D89"/>
    <w:rsid w:val="00EC509D"/>
    <w:rsid w:val="00EC650B"/>
    <w:rsid w:val="00EC73A9"/>
    <w:rsid w:val="00EC73E7"/>
    <w:rsid w:val="00EC778D"/>
    <w:rsid w:val="00ED28A2"/>
    <w:rsid w:val="00ED3164"/>
    <w:rsid w:val="00EE6D31"/>
    <w:rsid w:val="00EF6532"/>
    <w:rsid w:val="00EF7BC3"/>
    <w:rsid w:val="00F020EA"/>
    <w:rsid w:val="00F10C7F"/>
    <w:rsid w:val="00F16FF3"/>
    <w:rsid w:val="00F32D6E"/>
    <w:rsid w:val="00F378D6"/>
    <w:rsid w:val="00F45D8F"/>
    <w:rsid w:val="00F529B5"/>
    <w:rsid w:val="00F63CEE"/>
    <w:rsid w:val="00F67F5E"/>
    <w:rsid w:val="00F719BE"/>
    <w:rsid w:val="00F77F85"/>
    <w:rsid w:val="00F96330"/>
    <w:rsid w:val="00FA002A"/>
    <w:rsid w:val="00FA42AA"/>
    <w:rsid w:val="00FA5DD2"/>
    <w:rsid w:val="00FA7E29"/>
    <w:rsid w:val="00FB757C"/>
    <w:rsid w:val="00FC7142"/>
    <w:rsid w:val="00FD4350"/>
    <w:rsid w:val="00FD7FA7"/>
    <w:rsid w:val="00FE33B7"/>
    <w:rsid w:val="00FE5A52"/>
    <w:rsid w:val="00FF75C9"/>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064094"/>
    <w:rsid w:val="056B78E4"/>
    <w:rsid w:val="05A42927"/>
    <w:rsid w:val="05EB78B9"/>
    <w:rsid w:val="060464B3"/>
    <w:rsid w:val="061F2713"/>
    <w:rsid w:val="065654B5"/>
    <w:rsid w:val="066408B6"/>
    <w:rsid w:val="06A149CB"/>
    <w:rsid w:val="06D11F32"/>
    <w:rsid w:val="077E151E"/>
    <w:rsid w:val="0785665F"/>
    <w:rsid w:val="07AB3490"/>
    <w:rsid w:val="07B32051"/>
    <w:rsid w:val="07EB08B1"/>
    <w:rsid w:val="08173179"/>
    <w:rsid w:val="08C5681F"/>
    <w:rsid w:val="091C4B59"/>
    <w:rsid w:val="09852AB9"/>
    <w:rsid w:val="098A5497"/>
    <w:rsid w:val="09A1791C"/>
    <w:rsid w:val="09D25BA2"/>
    <w:rsid w:val="0A0E35A3"/>
    <w:rsid w:val="0A1B48E0"/>
    <w:rsid w:val="0A836050"/>
    <w:rsid w:val="0AB357D4"/>
    <w:rsid w:val="0AD12D78"/>
    <w:rsid w:val="0B2B358D"/>
    <w:rsid w:val="0B591E2E"/>
    <w:rsid w:val="0C0910DE"/>
    <w:rsid w:val="0CAD489C"/>
    <w:rsid w:val="0CCD0C4F"/>
    <w:rsid w:val="0D0E66AD"/>
    <w:rsid w:val="0D5A5B8C"/>
    <w:rsid w:val="0D7B1C8E"/>
    <w:rsid w:val="0D7D1BB2"/>
    <w:rsid w:val="0D896308"/>
    <w:rsid w:val="0DAC4FCB"/>
    <w:rsid w:val="0DDD3A30"/>
    <w:rsid w:val="0DE855D9"/>
    <w:rsid w:val="0DE92C96"/>
    <w:rsid w:val="0E064F10"/>
    <w:rsid w:val="0E224769"/>
    <w:rsid w:val="0E377D85"/>
    <w:rsid w:val="0EA314D4"/>
    <w:rsid w:val="0EA512A6"/>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3F339F"/>
    <w:rsid w:val="19414DFD"/>
    <w:rsid w:val="19670372"/>
    <w:rsid w:val="1A597781"/>
    <w:rsid w:val="1A674BDF"/>
    <w:rsid w:val="1A8624EF"/>
    <w:rsid w:val="1AAF73A0"/>
    <w:rsid w:val="1AB84DFF"/>
    <w:rsid w:val="1AF25537"/>
    <w:rsid w:val="1B295DE8"/>
    <w:rsid w:val="1BA7704D"/>
    <w:rsid w:val="1BB50563"/>
    <w:rsid w:val="1BE40897"/>
    <w:rsid w:val="1C102782"/>
    <w:rsid w:val="1C1E661C"/>
    <w:rsid w:val="1C2F36CA"/>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38108F3"/>
    <w:rsid w:val="23B52D23"/>
    <w:rsid w:val="24005DFF"/>
    <w:rsid w:val="24740B21"/>
    <w:rsid w:val="24A66CC3"/>
    <w:rsid w:val="24B07509"/>
    <w:rsid w:val="25141B44"/>
    <w:rsid w:val="25251CDD"/>
    <w:rsid w:val="256A0B48"/>
    <w:rsid w:val="25B8212F"/>
    <w:rsid w:val="25C379D2"/>
    <w:rsid w:val="26244987"/>
    <w:rsid w:val="263502CA"/>
    <w:rsid w:val="26A266B6"/>
    <w:rsid w:val="26DC3A8D"/>
    <w:rsid w:val="27A758BC"/>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334CF8"/>
    <w:rsid w:val="2D5E31A2"/>
    <w:rsid w:val="2D901D4F"/>
    <w:rsid w:val="2E346694"/>
    <w:rsid w:val="2E585EB6"/>
    <w:rsid w:val="2E756F3C"/>
    <w:rsid w:val="2F321CBD"/>
    <w:rsid w:val="2F6F0866"/>
    <w:rsid w:val="30030473"/>
    <w:rsid w:val="300D1492"/>
    <w:rsid w:val="30444961"/>
    <w:rsid w:val="30872EA8"/>
    <w:rsid w:val="30976FBB"/>
    <w:rsid w:val="30B27859"/>
    <w:rsid w:val="311F3867"/>
    <w:rsid w:val="31266B62"/>
    <w:rsid w:val="314B252D"/>
    <w:rsid w:val="31522662"/>
    <w:rsid w:val="316C1C7D"/>
    <w:rsid w:val="31C077E7"/>
    <w:rsid w:val="31D11801"/>
    <w:rsid w:val="328123C3"/>
    <w:rsid w:val="32B81AB0"/>
    <w:rsid w:val="32F61005"/>
    <w:rsid w:val="33064658"/>
    <w:rsid w:val="33275A6F"/>
    <w:rsid w:val="335B60C2"/>
    <w:rsid w:val="33630233"/>
    <w:rsid w:val="33A65CE5"/>
    <w:rsid w:val="33E26171"/>
    <w:rsid w:val="33E85C36"/>
    <w:rsid w:val="343F0D4B"/>
    <w:rsid w:val="34583C3A"/>
    <w:rsid w:val="352F456F"/>
    <w:rsid w:val="3532396A"/>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8BF5033"/>
    <w:rsid w:val="396B46CF"/>
    <w:rsid w:val="398C79A3"/>
    <w:rsid w:val="39E67A24"/>
    <w:rsid w:val="39EE175A"/>
    <w:rsid w:val="3A070BE6"/>
    <w:rsid w:val="3A275C7E"/>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DD54168"/>
    <w:rsid w:val="3E676953"/>
    <w:rsid w:val="3E893233"/>
    <w:rsid w:val="3E951975"/>
    <w:rsid w:val="3EA6717E"/>
    <w:rsid w:val="3EB45F5C"/>
    <w:rsid w:val="3EC26D84"/>
    <w:rsid w:val="3ED674CA"/>
    <w:rsid w:val="3EE81F94"/>
    <w:rsid w:val="3EE95CD4"/>
    <w:rsid w:val="3F07744D"/>
    <w:rsid w:val="3F204B9E"/>
    <w:rsid w:val="3F24672E"/>
    <w:rsid w:val="3F3C5B71"/>
    <w:rsid w:val="3F577277"/>
    <w:rsid w:val="3FD820F5"/>
    <w:rsid w:val="3FFE04EC"/>
    <w:rsid w:val="4039566C"/>
    <w:rsid w:val="404535C5"/>
    <w:rsid w:val="404E2AE4"/>
    <w:rsid w:val="405A242A"/>
    <w:rsid w:val="40F43F1A"/>
    <w:rsid w:val="41532FAE"/>
    <w:rsid w:val="41842C98"/>
    <w:rsid w:val="41AC16B2"/>
    <w:rsid w:val="41BC1CA5"/>
    <w:rsid w:val="42057C15"/>
    <w:rsid w:val="421A4828"/>
    <w:rsid w:val="423F2F70"/>
    <w:rsid w:val="42670A50"/>
    <w:rsid w:val="427D788F"/>
    <w:rsid w:val="428A1EDA"/>
    <w:rsid w:val="430A0010"/>
    <w:rsid w:val="430D1706"/>
    <w:rsid w:val="43B35BEF"/>
    <w:rsid w:val="43BD17FC"/>
    <w:rsid w:val="44831052"/>
    <w:rsid w:val="44A21D28"/>
    <w:rsid w:val="44E828B4"/>
    <w:rsid w:val="451002B5"/>
    <w:rsid w:val="456A0612"/>
    <w:rsid w:val="458D6777"/>
    <w:rsid w:val="4590612D"/>
    <w:rsid w:val="45974811"/>
    <w:rsid w:val="46022BE9"/>
    <w:rsid w:val="46066A8D"/>
    <w:rsid w:val="46082FC4"/>
    <w:rsid w:val="460868F8"/>
    <w:rsid w:val="46295264"/>
    <w:rsid w:val="466A2CBB"/>
    <w:rsid w:val="46762F9F"/>
    <w:rsid w:val="46BA00BF"/>
    <w:rsid w:val="46D66444"/>
    <w:rsid w:val="47024B89"/>
    <w:rsid w:val="47350CC5"/>
    <w:rsid w:val="4754657C"/>
    <w:rsid w:val="47792485"/>
    <w:rsid w:val="477F0800"/>
    <w:rsid w:val="47DF047E"/>
    <w:rsid w:val="47F1067D"/>
    <w:rsid w:val="481E4E00"/>
    <w:rsid w:val="48350F2F"/>
    <w:rsid w:val="48673C7E"/>
    <w:rsid w:val="487F5414"/>
    <w:rsid w:val="488D5CBD"/>
    <w:rsid w:val="48BD715B"/>
    <w:rsid w:val="493A3496"/>
    <w:rsid w:val="49883916"/>
    <w:rsid w:val="49B35ADA"/>
    <w:rsid w:val="49E0236C"/>
    <w:rsid w:val="4A3C591C"/>
    <w:rsid w:val="4A797E30"/>
    <w:rsid w:val="4A7E7BF1"/>
    <w:rsid w:val="4AC85072"/>
    <w:rsid w:val="4B115EC7"/>
    <w:rsid w:val="4B646FFB"/>
    <w:rsid w:val="4B745559"/>
    <w:rsid w:val="4B8250E9"/>
    <w:rsid w:val="4B9374B4"/>
    <w:rsid w:val="4BAC6D9C"/>
    <w:rsid w:val="4BBC374F"/>
    <w:rsid w:val="4BD50393"/>
    <w:rsid w:val="4C371F41"/>
    <w:rsid w:val="4C9978BA"/>
    <w:rsid w:val="4CF124C7"/>
    <w:rsid w:val="4D1C29A0"/>
    <w:rsid w:val="4D222443"/>
    <w:rsid w:val="4D5544F7"/>
    <w:rsid w:val="4D6A2510"/>
    <w:rsid w:val="4D7D0198"/>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44113E"/>
    <w:rsid w:val="51A67337"/>
    <w:rsid w:val="51AD3D02"/>
    <w:rsid w:val="51DC6281"/>
    <w:rsid w:val="523A17FC"/>
    <w:rsid w:val="52730954"/>
    <w:rsid w:val="52C57509"/>
    <w:rsid w:val="53104FF3"/>
    <w:rsid w:val="535A42C0"/>
    <w:rsid w:val="53A66F6C"/>
    <w:rsid w:val="53A8301E"/>
    <w:rsid w:val="549C6DBA"/>
    <w:rsid w:val="54AE4B77"/>
    <w:rsid w:val="54B64947"/>
    <w:rsid w:val="55560686"/>
    <w:rsid w:val="55F27CDA"/>
    <w:rsid w:val="561F7184"/>
    <w:rsid w:val="56392B05"/>
    <w:rsid w:val="56562308"/>
    <w:rsid w:val="5668447C"/>
    <w:rsid w:val="56686009"/>
    <w:rsid w:val="56B21163"/>
    <w:rsid w:val="56B35EA7"/>
    <w:rsid w:val="56D52E2B"/>
    <w:rsid w:val="5703780B"/>
    <w:rsid w:val="57143E2F"/>
    <w:rsid w:val="571C1DF1"/>
    <w:rsid w:val="57314E4E"/>
    <w:rsid w:val="57472442"/>
    <w:rsid w:val="576372D7"/>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5FB200B3"/>
    <w:rsid w:val="603F6015"/>
    <w:rsid w:val="60672361"/>
    <w:rsid w:val="60911F51"/>
    <w:rsid w:val="60971F86"/>
    <w:rsid w:val="611E6F2B"/>
    <w:rsid w:val="613E5BFE"/>
    <w:rsid w:val="621B2348"/>
    <w:rsid w:val="62607B57"/>
    <w:rsid w:val="628042DF"/>
    <w:rsid w:val="62951C1B"/>
    <w:rsid w:val="630854AB"/>
    <w:rsid w:val="633D6FBD"/>
    <w:rsid w:val="635031CD"/>
    <w:rsid w:val="63A21FFE"/>
    <w:rsid w:val="63A97F35"/>
    <w:rsid w:val="63AB1A91"/>
    <w:rsid w:val="64324C0C"/>
    <w:rsid w:val="643D3240"/>
    <w:rsid w:val="644D5B76"/>
    <w:rsid w:val="6458289B"/>
    <w:rsid w:val="64A5552C"/>
    <w:rsid w:val="64C47B18"/>
    <w:rsid w:val="65A119E7"/>
    <w:rsid w:val="65C126FF"/>
    <w:rsid w:val="65F93D81"/>
    <w:rsid w:val="66317CF6"/>
    <w:rsid w:val="663C410E"/>
    <w:rsid w:val="664243FF"/>
    <w:rsid w:val="669D13B7"/>
    <w:rsid w:val="66B546F0"/>
    <w:rsid w:val="66B83C92"/>
    <w:rsid w:val="66DE070A"/>
    <w:rsid w:val="66F66060"/>
    <w:rsid w:val="6703549C"/>
    <w:rsid w:val="673A2A49"/>
    <w:rsid w:val="674F314A"/>
    <w:rsid w:val="675A6D1E"/>
    <w:rsid w:val="676D2E91"/>
    <w:rsid w:val="67F03179"/>
    <w:rsid w:val="68105B0A"/>
    <w:rsid w:val="684D2237"/>
    <w:rsid w:val="68760BC9"/>
    <w:rsid w:val="689C6CD7"/>
    <w:rsid w:val="68AD1290"/>
    <w:rsid w:val="68C24091"/>
    <w:rsid w:val="68DF53F1"/>
    <w:rsid w:val="692E1B1A"/>
    <w:rsid w:val="693547AE"/>
    <w:rsid w:val="695F493B"/>
    <w:rsid w:val="696F6BE4"/>
    <w:rsid w:val="698039BA"/>
    <w:rsid w:val="69F71F6E"/>
    <w:rsid w:val="6A023AC4"/>
    <w:rsid w:val="6A7A48BA"/>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62308B"/>
    <w:rsid w:val="6F915FDB"/>
    <w:rsid w:val="6FD315C3"/>
    <w:rsid w:val="6FF723C3"/>
    <w:rsid w:val="701704B6"/>
    <w:rsid w:val="70474D32"/>
    <w:rsid w:val="70772053"/>
    <w:rsid w:val="70DC241A"/>
    <w:rsid w:val="70F806AF"/>
    <w:rsid w:val="710A38EE"/>
    <w:rsid w:val="716E59A9"/>
    <w:rsid w:val="71AA05CD"/>
    <w:rsid w:val="71DB12B3"/>
    <w:rsid w:val="72993414"/>
    <w:rsid w:val="72D73A11"/>
    <w:rsid w:val="72F01471"/>
    <w:rsid w:val="73047240"/>
    <w:rsid w:val="7350660E"/>
    <w:rsid w:val="73B30DE8"/>
    <w:rsid w:val="74180CAE"/>
    <w:rsid w:val="7432481B"/>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B03A6"/>
    <w:rsid w:val="75CF43CE"/>
    <w:rsid w:val="75E06548"/>
    <w:rsid w:val="75EC7066"/>
    <w:rsid w:val="760C57E3"/>
    <w:rsid w:val="769E0D19"/>
    <w:rsid w:val="76DB14FC"/>
    <w:rsid w:val="76EA76C2"/>
    <w:rsid w:val="76F507BA"/>
    <w:rsid w:val="76F961D8"/>
    <w:rsid w:val="772546B8"/>
    <w:rsid w:val="772D27AF"/>
    <w:rsid w:val="774A78C1"/>
    <w:rsid w:val="776F0294"/>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6"/>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64"/>
    <w:qFormat/>
    <w:uiPriority w:val="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78"/>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128"/>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63"/>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107"/>
    <w:semiHidden/>
    <w:qFormat/>
    <w:uiPriority w:val="99"/>
    <w:pPr>
      <w:shd w:val="clear" w:color="auto" w:fill="000080"/>
    </w:pPr>
  </w:style>
  <w:style w:type="paragraph" w:styleId="11">
    <w:name w:val="annotation text"/>
    <w:basedOn w:val="1"/>
    <w:link w:val="110"/>
    <w:semiHidden/>
    <w:qFormat/>
    <w:uiPriority w:val="99"/>
    <w:pPr>
      <w:jc w:val="left"/>
    </w:pPr>
    <w:rPr>
      <w:rFonts w:ascii="Times New Roman" w:hAnsi="Times New Roman" w:cs="Times New Roman"/>
    </w:rPr>
  </w:style>
  <w:style w:type="paragraph" w:styleId="12">
    <w:name w:val="Body Text 3"/>
    <w:basedOn w:val="1"/>
    <w:link w:val="127"/>
    <w:qFormat/>
    <w:uiPriority w:val="99"/>
    <w:pPr>
      <w:spacing w:after="120"/>
    </w:pPr>
    <w:rPr>
      <w:sz w:val="16"/>
      <w:szCs w:val="16"/>
    </w:rPr>
  </w:style>
  <w:style w:type="paragraph" w:styleId="13">
    <w:name w:val="Closing"/>
    <w:basedOn w:val="1"/>
    <w:link w:val="65"/>
    <w:qFormat/>
    <w:uiPriority w:val="99"/>
    <w:pPr>
      <w:ind w:left="100" w:leftChars="2100"/>
    </w:pPr>
    <w:rPr>
      <w:rFonts w:ascii="宋体" w:hAnsi="宋体" w:cs="宋体"/>
      <w:color w:val="000000"/>
      <w:sz w:val="24"/>
      <w:szCs w:val="24"/>
    </w:rPr>
  </w:style>
  <w:style w:type="paragraph" w:styleId="14">
    <w:name w:val="Body Text"/>
    <w:basedOn w:val="1"/>
    <w:next w:val="1"/>
    <w:link w:val="75"/>
    <w:qFormat/>
    <w:uiPriority w:val="99"/>
    <w:pPr>
      <w:spacing w:after="120"/>
    </w:pPr>
    <w:rPr>
      <w:rFonts w:ascii="Times New Roman" w:hAnsi="Times New Roman" w:cs="Times New Roman"/>
    </w:rPr>
  </w:style>
  <w:style w:type="paragraph" w:styleId="15">
    <w:name w:val="Body Text Indent"/>
    <w:basedOn w:val="1"/>
    <w:link w:val="11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72"/>
    <w:qFormat/>
    <w:uiPriority w:val="99"/>
    <w:rPr>
      <w:rFonts w:ascii="宋体" w:hAnsi="Courier New" w:cs="宋体"/>
    </w:rPr>
  </w:style>
  <w:style w:type="paragraph" w:styleId="18">
    <w:name w:val="Date"/>
    <w:basedOn w:val="1"/>
    <w:next w:val="1"/>
    <w:link w:val="113"/>
    <w:qFormat/>
    <w:uiPriority w:val="99"/>
    <w:rPr>
      <w:rFonts w:ascii="宋体" w:hAnsi="Courier New" w:cs="宋体"/>
      <w:sz w:val="32"/>
      <w:szCs w:val="32"/>
    </w:rPr>
  </w:style>
  <w:style w:type="paragraph" w:styleId="19">
    <w:name w:val="Body Text Indent 2"/>
    <w:basedOn w:val="1"/>
    <w:link w:val="124"/>
    <w:qFormat/>
    <w:uiPriority w:val="99"/>
    <w:pPr>
      <w:spacing w:line="500" w:lineRule="exact"/>
      <w:ind w:left="397" w:firstLine="539"/>
    </w:pPr>
    <w:rPr>
      <w:rFonts w:ascii="宋体" w:hAnsi="华文中宋" w:cs="宋体"/>
      <w:sz w:val="26"/>
      <w:szCs w:val="26"/>
    </w:rPr>
  </w:style>
  <w:style w:type="paragraph" w:styleId="20">
    <w:name w:val="Balloon Text"/>
    <w:basedOn w:val="1"/>
    <w:link w:val="104"/>
    <w:semiHidden/>
    <w:qFormat/>
    <w:uiPriority w:val="99"/>
    <w:rPr>
      <w:rFonts w:ascii="Times New Roman" w:hAnsi="Times New Roman" w:cs="Times New Roman"/>
      <w:sz w:val="18"/>
      <w:szCs w:val="18"/>
    </w:rPr>
  </w:style>
  <w:style w:type="paragraph" w:styleId="21">
    <w:name w:val="footer"/>
    <w:basedOn w:val="1"/>
    <w:link w:val="46"/>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70"/>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87"/>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109"/>
    <w:qFormat/>
    <w:uiPriority w:val="99"/>
    <w:pPr>
      <w:spacing w:line="360" w:lineRule="auto"/>
    </w:pPr>
    <w:rPr>
      <w:rFonts w:ascii="宋体" w:hAnsi="宋体" w:cs="宋体"/>
      <w:color w:val="000000"/>
      <w:sz w:val="24"/>
      <w:szCs w:val="24"/>
    </w:rPr>
  </w:style>
  <w:style w:type="paragraph" w:styleId="30">
    <w:name w:val="HTML Preformatted"/>
    <w:basedOn w:val="1"/>
    <w:link w:val="6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103"/>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7"/>
    <w:semiHidden/>
    <w:qFormat/>
    <w:uiPriority w:val="99"/>
    <w:rPr>
      <w:b/>
      <w:bCs/>
    </w:rPr>
  </w:style>
  <w:style w:type="paragraph" w:styleId="34">
    <w:name w:val="Body Text First Indent"/>
    <w:basedOn w:val="1"/>
    <w:link w:val="66"/>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页脚 Char"/>
    <w:qFormat/>
    <w:uiPriority w:val="99"/>
    <w:rPr>
      <w:rFonts w:ascii="Times New Roman" w:hAnsi="Times New Roman" w:eastAsia="宋体" w:cs="Times New Roman"/>
      <w:sz w:val="18"/>
      <w:szCs w:val="18"/>
    </w:rPr>
  </w:style>
  <w:style w:type="character" w:customStyle="1" w:styleId="46">
    <w:name w:val="页脚 Char1"/>
    <w:link w:val="21"/>
    <w:qFormat/>
    <w:locked/>
    <w:uiPriority w:val="99"/>
    <w:rPr>
      <w:rFonts w:eastAsia="宋体"/>
      <w:kern w:val="2"/>
      <w:sz w:val="18"/>
      <w:szCs w:val="18"/>
      <w:lang w:val="en-US" w:eastAsia="zh-CN"/>
    </w:rPr>
  </w:style>
  <w:style w:type="character" w:customStyle="1" w:styleId="47">
    <w:name w:val="未处理的提及1"/>
    <w:semiHidden/>
    <w:qFormat/>
    <w:uiPriority w:val="99"/>
    <w:rPr>
      <w:color w:val="auto"/>
      <w:shd w:val="clear" w:color="auto" w:fill="auto"/>
    </w:rPr>
  </w:style>
  <w:style w:type="character" w:customStyle="1" w:styleId="48">
    <w:name w:val="标题 4 Char"/>
    <w:link w:val="5"/>
    <w:qFormat/>
    <w:locked/>
    <w:uiPriority w:val="99"/>
    <w:rPr>
      <w:rFonts w:ascii="Arial" w:hAnsi="Arial" w:eastAsia="黑体" w:cs="Arial"/>
      <w:b/>
      <w:bCs/>
      <w:kern w:val="2"/>
      <w:sz w:val="28"/>
      <w:szCs w:val="28"/>
      <w:lang w:val="en-US" w:eastAsia="zh-CN"/>
    </w:rPr>
  </w:style>
  <w:style w:type="paragraph" w:customStyle="1" w:styleId="49">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50">
    <w:name w:val="题注4"/>
    <w:basedOn w:val="1"/>
    <w:next w:val="9"/>
    <w:qFormat/>
    <w:uiPriority w:val="99"/>
    <w:pPr>
      <w:ind w:left="-132" w:leftChars="-64" w:right="-105" w:rightChars="-50" w:hanging="2"/>
      <w:jc w:val="center"/>
    </w:pPr>
    <w:rPr>
      <w:b/>
      <w:bCs/>
      <w:color w:val="FF0000"/>
      <w:lang w:val="en-GB"/>
    </w:rPr>
  </w:style>
  <w:style w:type="character" w:customStyle="1" w:styleId="51">
    <w:name w:val="标题 3 Char Char"/>
    <w:qFormat/>
    <w:uiPriority w:val="99"/>
    <w:rPr>
      <w:rFonts w:ascii="黑体" w:eastAsia="黑体" w:cs="黑体"/>
      <w:sz w:val="30"/>
      <w:szCs w:val="30"/>
    </w:rPr>
  </w:style>
  <w:style w:type="paragraph" w:customStyle="1" w:styleId="52">
    <w:name w:val="Char Char2 Char"/>
    <w:basedOn w:val="1"/>
    <w:qFormat/>
    <w:uiPriority w:val="99"/>
    <w:rPr>
      <w:rFonts w:ascii="宋体" w:hAnsi="宋体" w:cs="宋体"/>
      <w:b/>
      <w:bCs/>
      <w:sz w:val="28"/>
      <w:szCs w:val="28"/>
    </w:rPr>
  </w:style>
  <w:style w:type="paragraph" w:customStyle="1" w:styleId="53">
    <w:name w:val="标题3"/>
    <w:basedOn w:val="4"/>
    <w:qFormat/>
    <w:uiPriority w:val="99"/>
    <w:pPr>
      <w:tabs>
        <w:tab w:val="left" w:pos="8640"/>
      </w:tabs>
      <w:adjustRightInd w:val="0"/>
      <w:jc w:val="left"/>
      <w:textAlignment w:val="baseline"/>
    </w:pPr>
    <w:rPr>
      <w:rFonts w:hAnsi="宋体"/>
      <w:sz w:val="32"/>
      <w:szCs w:val="32"/>
    </w:rPr>
  </w:style>
  <w:style w:type="paragraph" w:customStyle="1" w:styleId="54">
    <w:name w:val="修订1"/>
    <w:qFormat/>
    <w:uiPriority w:val="99"/>
    <w:rPr>
      <w:rFonts w:ascii="Calibri" w:hAnsi="Calibri" w:eastAsia="宋体" w:cs="Calibri"/>
      <w:kern w:val="2"/>
      <w:sz w:val="21"/>
      <w:szCs w:val="21"/>
      <w:lang w:val="en-US" w:eastAsia="zh-CN" w:bidi="ar-SA"/>
    </w:rPr>
  </w:style>
  <w:style w:type="paragraph" w:styleId="55">
    <w:name w:val="List Paragraph"/>
    <w:basedOn w:val="1"/>
    <w:qFormat/>
    <w:uiPriority w:val="34"/>
    <w:pPr>
      <w:ind w:firstLine="420" w:firstLineChars="200"/>
    </w:pPr>
  </w:style>
  <w:style w:type="paragraph" w:customStyle="1" w:styleId="56">
    <w:name w:val="正文 New"/>
    <w:qFormat/>
    <w:uiPriority w:val="99"/>
    <w:pPr>
      <w:widowControl w:val="0"/>
      <w:jc w:val="both"/>
    </w:pPr>
    <w:rPr>
      <w:rFonts w:ascii="Calibri" w:hAnsi="Calibri" w:eastAsia="宋体" w:cs="Calibri"/>
      <w:kern w:val="2"/>
      <w:sz w:val="21"/>
      <w:szCs w:val="21"/>
      <w:lang w:val="en-US" w:eastAsia="zh-CN" w:bidi="ar-SA"/>
    </w:rPr>
  </w:style>
  <w:style w:type="character" w:customStyle="1" w:styleId="57">
    <w:name w:val="批注主题 Char"/>
    <w:link w:val="33"/>
    <w:qFormat/>
    <w:locked/>
    <w:uiPriority w:val="99"/>
    <w:rPr>
      <w:rFonts w:eastAsia="宋体"/>
      <w:b/>
      <w:bCs/>
      <w:kern w:val="2"/>
      <w:sz w:val="24"/>
      <w:szCs w:val="24"/>
      <w:lang w:val="en-US" w:eastAsia="zh-CN"/>
    </w:rPr>
  </w:style>
  <w:style w:type="paragraph" w:customStyle="1" w:styleId="58">
    <w:name w:val="p0"/>
    <w:basedOn w:val="1"/>
    <w:qFormat/>
    <w:uiPriority w:val="99"/>
    <w:pPr>
      <w:widowControl/>
    </w:pPr>
    <w:rPr>
      <w:kern w:val="0"/>
    </w:rPr>
  </w:style>
  <w:style w:type="character" w:customStyle="1" w:styleId="59">
    <w:name w:val="font51"/>
    <w:qFormat/>
    <w:uiPriority w:val="99"/>
    <w:rPr>
      <w:rFonts w:ascii="Times New Roman" w:hAnsi="Times New Roman" w:cs="Times New Roman"/>
      <w:color w:val="000000"/>
      <w:sz w:val="28"/>
      <w:szCs w:val="28"/>
      <w:u w:val="none"/>
    </w:rPr>
  </w:style>
  <w:style w:type="paragraph" w:customStyle="1" w:styleId="60">
    <w:name w:val="正文 New New New"/>
    <w:qFormat/>
    <w:uiPriority w:val="99"/>
    <w:pPr>
      <w:widowControl w:val="0"/>
      <w:jc w:val="both"/>
    </w:pPr>
    <w:rPr>
      <w:rFonts w:ascii="Calibri" w:hAnsi="Calibri" w:eastAsia="宋体" w:cs="Calibri"/>
      <w:kern w:val="2"/>
      <w:sz w:val="21"/>
      <w:szCs w:val="21"/>
      <w:lang w:val="en-US" w:eastAsia="zh-CN" w:bidi="ar-SA"/>
    </w:rPr>
  </w:style>
  <w:style w:type="character" w:customStyle="1" w:styleId="61">
    <w:name w:val="HTML 预设格式 Char"/>
    <w:link w:val="30"/>
    <w:semiHidden/>
    <w:qFormat/>
    <w:uiPriority w:val="99"/>
    <w:rPr>
      <w:rFonts w:ascii="Courier New" w:hAnsi="Courier New" w:cs="Courier New"/>
      <w:sz w:val="20"/>
      <w:szCs w:val="20"/>
    </w:rPr>
  </w:style>
  <w:style w:type="paragraph" w:customStyle="1" w:styleId="62">
    <w:name w:val="正文 New New New New"/>
    <w:qFormat/>
    <w:uiPriority w:val="99"/>
    <w:pPr>
      <w:widowControl w:val="0"/>
      <w:jc w:val="both"/>
    </w:pPr>
    <w:rPr>
      <w:rFonts w:ascii="Calibri" w:hAnsi="Calibri" w:eastAsia="宋体" w:cs="Calibri"/>
      <w:kern w:val="2"/>
      <w:sz w:val="21"/>
      <w:szCs w:val="21"/>
      <w:lang w:val="en-US" w:eastAsia="zh-CN" w:bidi="ar-SA"/>
    </w:rPr>
  </w:style>
  <w:style w:type="character" w:customStyle="1" w:styleId="63">
    <w:name w:val="正文缩进 Char"/>
    <w:link w:val="8"/>
    <w:qFormat/>
    <w:uiPriority w:val="99"/>
    <w:rPr>
      <w:rFonts w:ascii="Calibri" w:hAnsi="Calibri" w:cs="Calibri"/>
      <w:kern w:val="2"/>
      <w:sz w:val="21"/>
      <w:szCs w:val="21"/>
    </w:rPr>
  </w:style>
  <w:style w:type="character" w:customStyle="1" w:styleId="64">
    <w:name w:val="标题 2 Char"/>
    <w:link w:val="2"/>
    <w:qFormat/>
    <w:locked/>
    <w:uiPriority w:val="9"/>
    <w:rPr>
      <w:rFonts w:ascii="Arial" w:hAnsi="Arial" w:eastAsia="黑体" w:cs="Arial"/>
      <w:b/>
      <w:bCs/>
      <w:kern w:val="2"/>
      <w:sz w:val="32"/>
      <w:szCs w:val="32"/>
      <w:lang w:val="en-US" w:eastAsia="zh-CN"/>
    </w:rPr>
  </w:style>
  <w:style w:type="character" w:customStyle="1" w:styleId="65">
    <w:name w:val="结束语 Char"/>
    <w:link w:val="13"/>
    <w:semiHidden/>
    <w:qFormat/>
    <w:uiPriority w:val="99"/>
    <w:rPr>
      <w:rFonts w:ascii="Calibri" w:hAnsi="Calibri" w:cs="Calibri"/>
      <w:szCs w:val="21"/>
    </w:rPr>
  </w:style>
  <w:style w:type="character" w:customStyle="1" w:styleId="66">
    <w:name w:val="正文首行缩进 Char"/>
    <w:link w:val="34"/>
    <w:semiHidden/>
    <w:qFormat/>
    <w:uiPriority w:val="99"/>
    <w:rPr>
      <w:rFonts w:ascii="Calibri" w:hAnsi="Calibri" w:eastAsia="宋体" w:cs="Calibri"/>
      <w:kern w:val="2"/>
      <w:sz w:val="24"/>
      <w:szCs w:val="21"/>
      <w:lang w:val="en-US" w:eastAsia="zh-CN"/>
    </w:rPr>
  </w:style>
  <w:style w:type="character" w:customStyle="1" w:styleId="67">
    <w:name w:val="纯文本 Char"/>
    <w:qFormat/>
    <w:uiPriority w:val="99"/>
    <w:rPr>
      <w:rFonts w:ascii="宋体" w:hAnsi="Courier New" w:eastAsia="宋体" w:cs="Times New Roman"/>
      <w:szCs w:val="21"/>
    </w:rPr>
  </w:style>
  <w:style w:type="paragraph" w:customStyle="1" w:styleId="68">
    <w:name w:val="正文缩入"/>
    <w:basedOn w:val="1"/>
    <w:qFormat/>
    <w:uiPriority w:val="99"/>
    <w:pPr>
      <w:spacing w:after="120"/>
      <w:ind w:firstLine="504"/>
    </w:pPr>
    <w:rPr>
      <w:sz w:val="24"/>
      <w:szCs w:val="24"/>
    </w:rPr>
  </w:style>
  <w:style w:type="paragraph" w:customStyle="1" w:styleId="69">
    <w:name w:val="保留正文"/>
    <w:basedOn w:val="14"/>
    <w:qFormat/>
    <w:uiPriority w:val="99"/>
    <w:pPr>
      <w:keepNext/>
      <w:spacing w:after="160"/>
    </w:pPr>
  </w:style>
  <w:style w:type="character" w:customStyle="1" w:styleId="70">
    <w:name w:val="页眉 Char1"/>
    <w:link w:val="22"/>
    <w:qFormat/>
    <w:locked/>
    <w:uiPriority w:val="99"/>
    <w:rPr>
      <w:rFonts w:eastAsia="宋体"/>
      <w:kern w:val="2"/>
      <w:sz w:val="18"/>
      <w:szCs w:val="18"/>
      <w:lang w:val="en-US" w:eastAsia="zh-CN"/>
    </w:rPr>
  </w:style>
  <w:style w:type="paragraph" w:customStyle="1" w:styleId="71">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72">
    <w:name w:val="纯文本 Char1"/>
    <w:link w:val="17"/>
    <w:semiHidden/>
    <w:qFormat/>
    <w:uiPriority w:val="99"/>
    <w:rPr>
      <w:rFonts w:ascii="宋体" w:hAnsi="Courier New" w:cs="Courier New"/>
      <w:szCs w:val="21"/>
    </w:rPr>
  </w:style>
  <w:style w:type="character" w:customStyle="1" w:styleId="73">
    <w:name w:val="样式 小五"/>
    <w:qFormat/>
    <w:uiPriority w:val="99"/>
    <w:rPr>
      <w:rFonts w:eastAsia="仿宋_GB2312"/>
      <w:sz w:val="18"/>
      <w:szCs w:val="18"/>
    </w:rPr>
  </w:style>
  <w:style w:type="paragraph" w:customStyle="1" w:styleId="74">
    <w:name w:val="_Style 1"/>
    <w:basedOn w:val="1"/>
    <w:qFormat/>
    <w:uiPriority w:val="99"/>
    <w:pPr>
      <w:ind w:firstLine="420" w:firstLineChars="200"/>
    </w:pPr>
  </w:style>
  <w:style w:type="character" w:customStyle="1" w:styleId="75">
    <w:name w:val="正文文本 Char"/>
    <w:link w:val="14"/>
    <w:qFormat/>
    <w:locked/>
    <w:uiPriority w:val="99"/>
    <w:rPr>
      <w:rFonts w:eastAsia="宋体"/>
      <w:kern w:val="2"/>
      <w:sz w:val="24"/>
      <w:szCs w:val="24"/>
      <w:lang w:val="en-US" w:eastAsia="zh-CN"/>
    </w:rPr>
  </w:style>
  <w:style w:type="paragraph" w:customStyle="1" w:styleId="76">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77">
    <w:name w:val="Char Char Char Char Char Char1 Char"/>
    <w:basedOn w:val="1"/>
    <w:qFormat/>
    <w:uiPriority w:val="99"/>
    <w:pPr>
      <w:widowControl/>
      <w:spacing w:after="160" w:line="240" w:lineRule="exact"/>
      <w:jc w:val="left"/>
    </w:pPr>
  </w:style>
  <w:style w:type="character" w:customStyle="1" w:styleId="78">
    <w:name w:val="标题 3 Char"/>
    <w:link w:val="4"/>
    <w:semiHidden/>
    <w:qFormat/>
    <w:uiPriority w:val="9"/>
    <w:rPr>
      <w:rFonts w:ascii="Calibri" w:hAnsi="Calibri" w:cs="Calibri"/>
      <w:b/>
      <w:bCs/>
      <w:sz w:val="32"/>
      <w:szCs w:val="32"/>
    </w:rPr>
  </w:style>
  <w:style w:type="paragraph" w:customStyle="1" w:styleId="79">
    <w:name w:val="列出段落11"/>
    <w:basedOn w:val="1"/>
    <w:qFormat/>
    <w:uiPriority w:val="99"/>
    <w:pPr>
      <w:ind w:firstLine="420" w:firstLineChars="200"/>
    </w:pPr>
  </w:style>
  <w:style w:type="character" w:customStyle="1" w:styleId="80">
    <w:name w:val="font11"/>
    <w:qFormat/>
    <w:uiPriority w:val="0"/>
    <w:rPr>
      <w:rFonts w:hint="eastAsia" w:ascii="宋体" w:hAnsi="宋体" w:eastAsia="宋体" w:cs="宋体"/>
      <w:color w:val="000000"/>
      <w:sz w:val="18"/>
      <w:szCs w:val="18"/>
      <w:u w:val="none"/>
    </w:rPr>
  </w:style>
  <w:style w:type="character" w:customStyle="1" w:styleId="81">
    <w:name w:val="页眉 Char"/>
    <w:qFormat/>
    <w:uiPriority w:val="99"/>
    <w:rPr>
      <w:rFonts w:ascii="Times New Roman" w:hAnsi="Times New Roman" w:eastAsia="宋体" w:cs="Times New Roman"/>
      <w:sz w:val="18"/>
      <w:szCs w:val="18"/>
    </w:rPr>
  </w:style>
  <w:style w:type="paragraph" w:customStyle="1" w:styleId="82">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1"/>
    <w:basedOn w:val="1"/>
    <w:next w:val="17"/>
    <w:qFormat/>
    <w:uiPriority w:val="99"/>
    <w:rPr>
      <w:rFonts w:ascii="宋体" w:hAnsi="Courier New" w:cs="宋体"/>
    </w:rPr>
  </w:style>
  <w:style w:type="paragraph" w:customStyle="1" w:styleId="84">
    <w:name w:val="Char Char2"/>
    <w:basedOn w:val="1"/>
    <w:qFormat/>
    <w:uiPriority w:val="99"/>
  </w:style>
  <w:style w:type="paragraph" w:customStyle="1" w:styleId="85">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character" w:customStyle="1" w:styleId="86">
    <w:name w:val="标题 1 Char"/>
    <w:link w:val="3"/>
    <w:qFormat/>
    <w:locked/>
    <w:uiPriority w:val="99"/>
    <w:rPr>
      <w:b/>
      <w:bCs/>
      <w:kern w:val="44"/>
      <w:sz w:val="44"/>
      <w:szCs w:val="44"/>
    </w:rPr>
  </w:style>
  <w:style w:type="character" w:customStyle="1" w:styleId="87">
    <w:name w:val="副标题 Char"/>
    <w:link w:val="27"/>
    <w:qFormat/>
    <w:uiPriority w:val="11"/>
    <w:rPr>
      <w:rFonts w:ascii="Cambria" w:hAnsi="Cambria" w:cs="Times New Roman"/>
      <w:b/>
      <w:bCs/>
      <w:kern w:val="28"/>
      <w:sz w:val="32"/>
      <w:szCs w:val="32"/>
    </w:rPr>
  </w:style>
  <w:style w:type="paragraph" w:customStyle="1" w:styleId="88">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89">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90">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91">
    <w:name w:val="_Style 55"/>
    <w:basedOn w:val="1"/>
    <w:qFormat/>
    <w:uiPriority w:val="99"/>
    <w:pPr>
      <w:widowControl/>
      <w:spacing w:after="160" w:line="240" w:lineRule="exact"/>
      <w:jc w:val="left"/>
    </w:pPr>
  </w:style>
  <w:style w:type="paragraph" w:customStyle="1" w:styleId="92">
    <w:name w:val="二级目录"/>
    <w:basedOn w:val="1"/>
    <w:qFormat/>
    <w:uiPriority w:val="99"/>
    <w:pPr>
      <w:spacing w:line="360" w:lineRule="exact"/>
      <w:ind w:firstLine="412" w:firstLineChars="196"/>
      <w:outlineLvl w:val="1"/>
    </w:pPr>
    <w:rPr>
      <w:rFonts w:ascii="Times New Roman" w:hAnsi="宋体" w:cs="Times New Roman"/>
      <w:kern w:val="0"/>
    </w:rPr>
  </w:style>
  <w:style w:type="character" w:customStyle="1" w:styleId="93">
    <w:name w:val="批注框文本 Char"/>
    <w:qFormat/>
    <w:uiPriority w:val="99"/>
    <w:rPr>
      <w:rFonts w:ascii="Times New Roman" w:hAnsi="Times New Roman" w:eastAsia="宋体" w:cs="Times New Roman"/>
      <w:sz w:val="18"/>
      <w:szCs w:val="18"/>
    </w:rPr>
  </w:style>
  <w:style w:type="paragraph" w:customStyle="1" w:styleId="94">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95">
    <w:name w:val="正文文本缩进 21"/>
    <w:basedOn w:val="1"/>
    <w:qFormat/>
    <w:uiPriority w:val="99"/>
    <w:pPr>
      <w:spacing w:after="120" w:line="480" w:lineRule="auto"/>
      <w:ind w:left="420" w:leftChars="200"/>
    </w:pPr>
  </w:style>
  <w:style w:type="character" w:customStyle="1" w:styleId="96">
    <w:name w:val="样式 普通(网站) + 小五 Char Char"/>
    <w:link w:val="97"/>
    <w:qFormat/>
    <w:locked/>
    <w:uiPriority w:val="99"/>
    <w:rPr>
      <w:rFonts w:ascii="Arial Unicode MS" w:hAnsi="Arial Unicode MS" w:eastAsia="仿宋_GB2312" w:cs="Arial Unicode MS"/>
      <w:sz w:val="24"/>
      <w:szCs w:val="24"/>
      <w:lang w:val="en-US" w:eastAsia="zh-CN"/>
    </w:rPr>
  </w:style>
  <w:style w:type="paragraph" w:customStyle="1" w:styleId="97">
    <w:name w:val="样式 普通(网站) + 小五"/>
    <w:basedOn w:val="31"/>
    <w:link w:val="96"/>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98">
    <w:name w:val="_Style 3"/>
    <w:basedOn w:val="1"/>
    <w:qFormat/>
    <w:uiPriority w:val="99"/>
    <w:pPr>
      <w:ind w:firstLine="420" w:firstLineChars="200"/>
    </w:pPr>
  </w:style>
  <w:style w:type="paragraph" w:customStyle="1" w:styleId="99">
    <w:name w:val="Char Char Char Char"/>
    <w:basedOn w:val="1"/>
    <w:qFormat/>
    <w:uiPriority w:val="99"/>
    <w:rPr>
      <w:rFonts w:ascii="Tahoma" w:hAnsi="Tahoma" w:cs="Tahoma"/>
      <w:sz w:val="24"/>
      <w:szCs w:val="24"/>
    </w:rPr>
  </w:style>
  <w:style w:type="character" w:customStyle="1" w:styleId="100">
    <w:name w:val="font101"/>
    <w:qFormat/>
    <w:uiPriority w:val="99"/>
    <w:rPr>
      <w:rFonts w:ascii="宋体" w:hAnsi="宋体" w:eastAsia="宋体" w:cs="宋体"/>
      <w:color w:val="000000"/>
      <w:sz w:val="28"/>
      <w:szCs w:val="28"/>
      <w:u w:val="none"/>
    </w:rPr>
  </w:style>
  <w:style w:type="paragraph" w:customStyle="1" w:styleId="101">
    <w:name w:val="Char1"/>
    <w:basedOn w:val="1"/>
    <w:qFormat/>
    <w:uiPriority w:val="99"/>
    <w:pPr>
      <w:widowControl/>
      <w:spacing w:before="100" w:beforeAutospacing="1" w:after="100" w:afterAutospacing="1" w:line="330" w:lineRule="atLeast"/>
      <w:ind w:left="360"/>
      <w:jc w:val="left"/>
    </w:pPr>
  </w:style>
  <w:style w:type="paragraph" w:customStyle="1" w:styleId="102">
    <w:name w:val="Char Char Char Char1"/>
    <w:basedOn w:val="1"/>
    <w:qFormat/>
    <w:uiPriority w:val="99"/>
    <w:rPr>
      <w:rFonts w:ascii="Tahoma" w:hAnsi="Tahoma" w:cs="Tahoma"/>
      <w:sz w:val="24"/>
      <w:szCs w:val="24"/>
    </w:rPr>
  </w:style>
  <w:style w:type="character" w:customStyle="1" w:styleId="103">
    <w:name w:val="标题 Char"/>
    <w:link w:val="32"/>
    <w:qFormat/>
    <w:uiPriority w:val="10"/>
    <w:rPr>
      <w:rFonts w:ascii="Cambria" w:hAnsi="Cambria" w:cs="Times New Roman"/>
      <w:b/>
      <w:bCs/>
      <w:sz w:val="32"/>
      <w:szCs w:val="32"/>
    </w:rPr>
  </w:style>
  <w:style w:type="character" w:customStyle="1" w:styleId="104">
    <w:name w:val="批注框文本 Char1"/>
    <w:link w:val="20"/>
    <w:qFormat/>
    <w:locked/>
    <w:uiPriority w:val="99"/>
    <w:rPr>
      <w:rFonts w:eastAsia="宋体"/>
      <w:kern w:val="2"/>
      <w:sz w:val="18"/>
      <w:szCs w:val="18"/>
      <w:lang w:val="en-US" w:eastAsia="zh-CN"/>
    </w:rPr>
  </w:style>
  <w:style w:type="paragraph" w:customStyle="1" w:styleId="105">
    <w:name w:val="填表"/>
    <w:qFormat/>
    <w:uiPriority w:val="99"/>
    <w:rPr>
      <w:rFonts w:ascii="Calibri" w:hAnsi="Calibri" w:eastAsia="宋体" w:cs="Calibri"/>
      <w:kern w:val="2"/>
      <w:sz w:val="18"/>
      <w:szCs w:val="18"/>
      <w:lang w:val="en-US" w:eastAsia="zh-CN" w:bidi="ar-SA"/>
    </w:rPr>
  </w:style>
  <w:style w:type="paragraph" w:customStyle="1" w:styleId="106">
    <w:name w:val="列出段落1"/>
    <w:basedOn w:val="1"/>
    <w:qFormat/>
    <w:uiPriority w:val="99"/>
    <w:pPr>
      <w:widowControl/>
      <w:ind w:left="720"/>
      <w:jc w:val="left"/>
    </w:pPr>
    <w:rPr>
      <w:i/>
      <w:iCs/>
      <w:kern w:val="0"/>
      <w:sz w:val="20"/>
      <w:szCs w:val="20"/>
    </w:rPr>
  </w:style>
  <w:style w:type="character" w:customStyle="1" w:styleId="107">
    <w:name w:val="文档结构图 Char"/>
    <w:link w:val="10"/>
    <w:semiHidden/>
    <w:qFormat/>
    <w:uiPriority w:val="99"/>
    <w:rPr>
      <w:rFonts w:cs="Calibri"/>
      <w:sz w:val="16"/>
      <w:szCs w:val="0"/>
    </w:rPr>
  </w:style>
  <w:style w:type="paragraph" w:customStyle="1" w:styleId="108">
    <w:name w:val="正文 New New"/>
    <w:qFormat/>
    <w:uiPriority w:val="99"/>
    <w:pPr>
      <w:widowControl w:val="0"/>
      <w:jc w:val="both"/>
    </w:pPr>
    <w:rPr>
      <w:rFonts w:ascii="Calibri" w:hAnsi="Calibri" w:eastAsia="宋体" w:cs="Calibri"/>
      <w:kern w:val="2"/>
      <w:sz w:val="21"/>
      <w:szCs w:val="21"/>
      <w:lang w:val="en-US" w:eastAsia="zh-CN" w:bidi="ar-SA"/>
    </w:rPr>
  </w:style>
  <w:style w:type="character" w:customStyle="1" w:styleId="109">
    <w:name w:val="正文文本 2 Char"/>
    <w:link w:val="29"/>
    <w:qFormat/>
    <w:locked/>
    <w:uiPriority w:val="99"/>
    <w:rPr>
      <w:rFonts w:ascii="宋体" w:hAnsi="宋体" w:eastAsia="宋体" w:cs="宋体"/>
      <w:color w:val="000000"/>
      <w:kern w:val="2"/>
      <w:sz w:val="24"/>
      <w:szCs w:val="24"/>
      <w:lang w:val="en-US" w:eastAsia="zh-CN"/>
    </w:rPr>
  </w:style>
  <w:style w:type="character" w:customStyle="1" w:styleId="110">
    <w:name w:val="批注文字 Char"/>
    <w:link w:val="11"/>
    <w:qFormat/>
    <w:locked/>
    <w:uiPriority w:val="99"/>
    <w:rPr>
      <w:rFonts w:eastAsia="宋体"/>
      <w:kern w:val="2"/>
      <w:sz w:val="24"/>
      <w:szCs w:val="24"/>
      <w:lang w:val="en-US" w:eastAsia="zh-CN"/>
    </w:rPr>
  </w:style>
  <w:style w:type="paragraph" w:customStyle="1" w:styleId="111">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12">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113">
    <w:name w:val="日期 Char"/>
    <w:link w:val="18"/>
    <w:semiHidden/>
    <w:qFormat/>
    <w:uiPriority w:val="99"/>
    <w:rPr>
      <w:rFonts w:ascii="Calibri" w:hAnsi="Calibri" w:cs="Calibri"/>
      <w:szCs w:val="21"/>
    </w:rPr>
  </w:style>
  <w:style w:type="paragraph" w:customStyle="1" w:styleId="114">
    <w:name w:val="表格文字"/>
    <w:basedOn w:val="1"/>
    <w:next w:val="14"/>
    <w:qFormat/>
    <w:uiPriority w:val="99"/>
    <w:pPr>
      <w:spacing w:before="25" w:after="25"/>
      <w:jc w:val="left"/>
    </w:pPr>
    <w:rPr>
      <w:spacing w:val="10"/>
      <w:kern w:val="0"/>
      <w:sz w:val="24"/>
      <w:szCs w:val="24"/>
    </w:rPr>
  </w:style>
  <w:style w:type="paragraph" w:customStyle="1" w:styleId="115">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16">
    <w:name w:val="font41"/>
    <w:qFormat/>
    <w:uiPriority w:val="99"/>
    <w:rPr>
      <w:rFonts w:ascii="Times New Roman" w:hAnsi="Times New Roman" w:cs="Times New Roman"/>
      <w:color w:val="000000"/>
      <w:sz w:val="28"/>
      <w:szCs w:val="28"/>
      <w:u w:val="none"/>
    </w:rPr>
  </w:style>
  <w:style w:type="character" w:customStyle="1" w:styleId="117">
    <w:name w:val="正文文本缩进 Char"/>
    <w:link w:val="15"/>
    <w:qFormat/>
    <w:locked/>
    <w:uiPriority w:val="99"/>
    <w:rPr>
      <w:rFonts w:eastAsia="宋体"/>
      <w:kern w:val="2"/>
      <w:sz w:val="24"/>
      <w:szCs w:val="24"/>
      <w:lang w:val="en-US" w:eastAsia="zh-CN"/>
    </w:rPr>
  </w:style>
  <w:style w:type="character" w:customStyle="1" w:styleId="118">
    <w:name w:val="Font Style17"/>
    <w:qFormat/>
    <w:uiPriority w:val="99"/>
    <w:rPr>
      <w:rFonts w:ascii="黑体" w:eastAsia="黑体" w:cs="黑体"/>
      <w:sz w:val="28"/>
      <w:szCs w:val="28"/>
    </w:rPr>
  </w:style>
  <w:style w:type="character" w:customStyle="1" w:styleId="119">
    <w:name w:val="标题 3 Char1"/>
    <w:qFormat/>
    <w:uiPriority w:val="99"/>
    <w:rPr>
      <w:rFonts w:eastAsia="宋体"/>
      <w:b/>
      <w:bCs/>
      <w:kern w:val="2"/>
      <w:sz w:val="32"/>
      <w:szCs w:val="32"/>
      <w:lang w:val="en-US" w:eastAsia="zh-CN"/>
    </w:rPr>
  </w:style>
  <w:style w:type="paragraph" w:customStyle="1" w:styleId="120">
    <w:name w:val="题注5"/>
    <w:basedOn w:val="1"/>
    <w:next w:val="9"/>
    <w:qFormat/>
    <w:uiPriority w:val="99"/>
    <w:pPr>
      <w:jc w:val="center"/>
    </w:pPr>
    <w:rPr>
      <w:b/>
      <w:bCs/>
      <w:color w:val="000000"/>
      <w:sz w:val="24"/>
      <w:szCs w:val="24"/>
    </w:rPr>
  </w:style>
  <w:style w:type="paragraph" w:customStyle="1" w:styleId="121">
    <w:name w:val="页脚 New"/>
    <w:basedOn w:val="60"/>
    <w:qFormat/>
    <w:uiPriority w:val="99"/>
    <w:pPr>
      <w:widowControl/>
      <w:tabs>
        <w:tab w:val="center" w:pos="4153"/>
        <w:tab w:val="right" w:pos="8306"/>
      </w:tabs>
      <w:snapToGrid w:val="0"/>
      <w:jc w:val="left"/>
    </w:pPr>
    <w:rPr>
      <w:sz w:val="18"/>
      <w:szCs w:val="18"/>
    </w:rPr>
  </w:style>
  <w:style w:type="character" w:customStyle="1" w:styleId="122">
    <w:name w:val="font81"/>
    <w:qFormat/>
    <w:uiPriority w:val="99"/>
    <w:rPr>
      <w:rFonts w:ascii="仿宋_GB2312" w:eastAsia="仿宋_GB2312" w:cs="仿宋_GB2312"/>
      <w:color w:val="000000"/>
      <w:sz w:val="28"/>
      <w:szCs w:val="28"/>
      <w:u w:val="none"/>
    </w:rPr>
  </w:style>
  <w:style w:type="paragraph" w:customStyle="1" w:styleId="123">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124">
    <w:name w:val="正文文本缩进 2 Char"/>
    <w:link w:val="19"/>
    <w:qFormat/>
    <w:locked/>
    <w:uiPriority w:val="99"/>
    <w:rPr>
      <w:rFonts w:ascii="宋体" w:hAnsi="华文中宋" w:eastAsia="宋体" w:cs="宋体"/>
      <w:kern w:val="2"/>
      <w:sz w:val="26"/>
      <w:szCs w:val="26"/>
      <w:lang w:val="en-US" w:eastAsia="zh-CN"/>
    </w:rPr>
  </w:style>
  <w:style w:type="paragraph" w:customStyle="1" w:styleId="125">
    <w:name w:val="_正文"/>
    <w:basedOn w:val="1"/>
    <w:qFormat/>
    <w:uiPriority w:val="99"/>
    <w:pPr>
      <w:spacing w:line="360" w:lineRule="auto"/>
      <w:ind w:firstLine="200" w:firstLineChars="200"/>
    </w:pPr>
    <w:rPr>
      <w:rFonts w:ascii="宋体" w:hAnsi="宋体" w:cs="宋体"/>
      <w:sz w:val="24"/>
      <w:szCs w:val="24"/>
    </w:rPr>
  </w:style>
  <w:style w:type="character" w:customStyle="1" w:styleId="126">
    <w:name w:val="font71"/>
    <w:qFormat/>
    <w:uiPriority w:val="99"/>
    <w:rPr>
      <w:rFonts w:ascii="宋体" w:hAnsi="宋体" w:eastAsia="宋体" w:cs="宋体"/>
      <w:color w:val="000000"/>
      <w:sz w:val="28"/>
      <w:szCs w:val="28"/>
      <w:u w:val="none"/>
    </w:rPr>
  </w:style>
  <w:style w:type="character" w:customStyle="1" w:styleId="127">
    <w:name w:val="正文文本 3 Char"/>
    <w:link w:val="12"/>
    <w:semiHidden/>
    <w:qFormat/>
    <w:uiPriority w:val="99"/>
    <w:rPr>
      <w:rFonts w:ascii="Calibri" w:hAnsi="Calibri" w:cs="Calibri"/>
      <w:sz w:val="16"/>
      <w:szCs w:val="16"/>
    </w:rPr>
  </w:style>
  <w:style w:type="character" w:customStyle="1" w:styleId="128">
    <w:name w:val="标题 6 Char"/>
    <w:link w:val="6"/>
    <w:qFormat/>
    <w:locked/>
    <w:uiPriority w:val="99"/>
    <w:rPr>
      <w:rFonts w:ascii="Cambria" w:hAnsi="Cambria" w:eastAsia="宋体" w:cs="Cambria"/>
      <w:b/>
      <w:bCs/>
      <w:kern w:val="2"/>
      <w:sz w:val="24"/>
      <w:szCs w:val="24"/>
      <w:lang w:val="en-US" w:eastAsia="zh-CN"/>
    </w:rPr>
  </w:style>
  <w:style w:type="paragraph" w:customStyle="1" w:styleId="129">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xl66"/>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2">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3">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
    <w:name w:val="xl6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139">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40">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3">
    <w:name w:val="xl78"/>
    <w:basedOn w:val="1"/>
    <w:qFormat/>
    <w:uiPriority w:val="0"/>
    <w:pPr>
      <w:widowControl/>
      <w:pBdr>
        <w:top w:val="single" w:color="auto" w:sz="4" w:space="0"/>
        <w:left w:val="single" w:color="000000"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4">
    <w:name w:val="xl79"/>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0">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1">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2">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3">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4768</Words>
  <Characters>27180</Characters>
  <Lines>226</Lines>
  <Paragraphs>63</Paragraphs>
  <TotalTime>19</TotalTime>
  <ScaleCrop>false</ScaleCrop>
  <LinksUpToDate>false</LinksUpToDate>
  <CharactersWithSpaces>31885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2025-09-24T09:38:00Z</dcterms:created>
  <dc:creator>Administrator</dc:creator>
  <cp:lastModifiedBy>杨寿刚</cp:lastModifiedBy>
  <dcterms:modified xsi:type="dcterms:W3CDTF">2025-09-26T09:28:18Z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0325F9D23D554365809DCDB49CE71EE9</vt:lpwstr>
  </property>
</Properties>
</file>