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4" w:lineRule="auto"/>
        <w:ind w:firstLine="562"/>
        <w:jc w:val="center"/>
        <w:rPr>
          <w:rFonts w:eastAsia="黑体"/>
          <w:b/>
          <w:bCs/>
          <w:sz w:val="56"/>
          <w:szCs w:val="56"/>
          <w:highlight w:val="none"/>
        </w:rPr>
      </w:pPr>
    </w:p>
    <w:p>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广西南宁技师学院</w:t>
      </w:r>
    </w:p>
    <w:p>
      <w:pPr>
        <w:spacing w:line="360" w:lineRule="auto"/>
        <w:jc w:val="center"/>
        <w:rPr>
          <w:rFonts w:ascii="华文新魏" w:hAnsi="Times New Roman" w:eastAsia="华文新魏" w:cs="华文新魏"/>
          <w:b/>
          <w:bCs/>
          <w:spacing w:val="20"/>
          <w:kern w:val="10"/>
          <w:sz w:val="36"/>
          <w:szCs w:val="36"/>
          <w:highlight w:val="none"/>
        </w:rPr>
      </w:pPr>
    </w:p>
    <w:p>
      <w:pPr>
        <w:spacing w:line="360" w:lineRule="auto"/>
        <w:jc w:val="center"/>
        <w:rPr>
          <w:rFonts w:ascii="华文新魏" w:hAnsi="Times New Roman" w:eastAsia="华文新魏" w:cs="华文新魏"/>
          <w:b/>
          <w:bCs/>
          <w:spacing w:val="20"/>
          <w:kern w:val="10"/>
          <w:sz w:val="36"/>
          <w:szCs w:val="36"/>
          <w:highlight w:val="none"/>
        </w:rPr>
      </w:pPr>
      <w:r>
        <w:rPr>
          <w:rFonts w:hint="eastAsia" w:ascii="华文新魏" w:hAnsi="Times New Roman" w:eastAsia="华文新魏" w:cs="华文新魏"/>
          <w:b/>
          <w:bCs/>
          <w:spacing w:val="20"/>
          <w:kern w:val="10"/>
          <w:sz w:val="36"/>
          <w:szCs w:val="36"/>
          <w:highlight w:val="none"/>
        </w:rPr>
        <w:t>202</w:t>
      </w:r>
      <w:r>
        <w:rPr>
          <w:rFonts w:hint="eastAsia" w:ascii="华文新魏" w:hAnsi="Times New Roman" w:eastAsia="华文新魏" w:cs="华文新魏"/>
          <w:b/>
          <w:bCs/>
          <w:spacing w:val="20"/>
          <w:kern w:val="10"/>
          <w:sz w:val="36"/>
          <w:szCs w:val="36"/>
          <w:highlight w:val="none"/>
          <w:lang w:val="en-US" w:eastAsia="zh-CN"/>
        </w:rPr>
        <w:t>5</w:t>
      </w:r>
      <w:r>
        <w:rPr>
          <w:rFonts w:hint="eastAsia" w:ascii="华文新魏" w:hAnsi="Times New Roman" w:eastAsia="华文新魏" w:cs="华文新魏"/>
          <w:b/>
          <w:bCs/>
          <w:spacing w:val="20"/>
          <w:kern w:val="10"/>
          <w:sz w:val="36"/>
          <w:szCs w:val="36"/>
          <w:highlight w:val="none"/>
        </w:rPr>
        <w:t>年新校区28台电梯维保服务</w:t>
      </w:r>
    </w:p>
    <w:p>
      <w:pPr>
        <w:spacing w:line="360" w:lineRule="auto"/>
        <w:jc w:val="center"/>
        <w:rPr>
          <w:rFonts w:ascii="华文新魏" w:hAnsi="Times New Roman" w:eastAsia="华文新魏" w:cs="华文新魏"/>
          <w:b/>
          <w:bCs/>
          <w:spacing w:val="20"/>
          <w:kern w:val="10"/>
          <w:sz w:val="36"/>
          <w:szCs w:val="36"/>
          <w:highlight w:val="none"/>
        </w:rPr>
      </w:pPr>
      <w:bookmarkStart w:id="0" w:name="OLE_LINK2"/>
    </w:p>
    <w:p>
      <w:pPr>
        <w:spacing w:line="360" w:lineRule="auto"/>
        <w:jc w:val="center"/>
        <w:rPr>
          <w:rFonts w:hint="eastAsia" w:ascii="华文新魏" w:hAnsi="Times New Roman" w:eastAsia="华文新魏" w:cs="华文新魏"/>
          <w:b/>
          <w:bCs/>
          <w:spacing w:val="20"/>
          <w:kern w:val="10"/>
          <w:sz w:val="36"/>
          <w:szCs w:val="36"/>
          <w:highlight w:val="none"/>
        </w:rPr>
      </w:pPr>
      <w:r>
        <w:rPr>
          <w:rFonts w:hint="eastAsia" w:ascii="华文新魏" w:hAnsi="Times New Roman" w:eastAsia="华文新魏" w:cs="华文新魏"/>
          <w:b/>
          <w:bCs/>
          <w:spacing w:val="20"/>
          <w:kern w:val="10"/>
          <w:sz w:val="36"/>
          <w:szCs w:val="36"/>
          <w:highlight w:val="none"/>
        </w:rPr>
        <w:t>项目编号：GXNNJSXY2025004HQ02C</w:t>
      </w:r>
    </w:p>
    <w:bookmarkEnd w:id="0"/>
    <w:p>
      <w:pPr>
        <w:pStyle w:val="2"/>
        <w:ind w:firstLine="0" w:firstLineChars="0"/>
        <w:rPr>
          <w:sz w:val="36"/>
          <w:szCs w:val="36"/>
          <w:highlight w:val="none"/>
        </w:rPr>
      </w:pPr>
      <w:r>
        <w:rPr>
          <w:rFonts w:hint="eastAsia"/>
          <w:sz w:val="36"/>
          <w:szCs w:val="36"/>
          <w:highlight w:val="none"/>
        </w:rPr>
        <w:t xml:space="preserve"> </w:t>
      </w:r>
    </w:p>
    <w:p>
      <w:pPr>
        <w:pStyle w:val="2"/>
        <w:ind w:firstLine="210"/>
        <w:rPr>
          <w:highlight w:val="none"/>
        </w:rPr>
      </w:pPr>
    </w:p>
    <w:p>
      <w:pPr>
        <w:spacing w:line="360" w:lineRule="auto"/>
        <w:jc w:val="center"/>
        <w:rPr>
          <w:rFonts w:eastAsia="华文新魏"/>
          <w:b/>
          <w:bCs/>
          <w:spacing w:val="20"/>
          <w:kern w:val="10"/>
          <w:sz w:val="72"/>
          <w:szCs w:val="72"/>
          <w:highlight w:val="none"/>
        </w:rPr>
      </w:pPr>
      <w:r>
        <w:rPr>
          <w:rFonts w:hint="eastAsia" w:eastAsia="华文新魏" w:cs="华文新魏"/>
          <w:b/>
          <w:bCs/>
          <w:spacing w:val="20"/>
          <w:kern w:val="10"/>
          <w:sz w:val="72"/>
          <w:szCs w:val="72"/>
          <w:highlight w:val="none"/>
        </w:rPr>
        <w:t>询价文件</w:t>
      </w:r>
    </w:p>
    <w:p>
      <w:pPr>
        <w:rPr>
          <w:highlight w:val="none"/>
        </w:rPr>
      </w:pPr>
      <w:r>
        <w:rPr>
          <w:highlight w:val="none"/>
        </w:rPr>
        <w:t xml:space="preserve">  </w:t>
      </w: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spacing w:line="800" w:lineRule="exact"/>
        <w:jc w:val="center"/>
        <w:rPr>
          <w:rFonts w:eastAsia="黑体"/>
          <w:sz w:val="20"/>
          <w:szCs w:val="20"/>
          <w:highlight w:val="none"/>
        </w:rPr>
      </w:pPr>
      <w:r>
        <w:rPr>
          <w:rFonts w:hint="eastAsia" w:eastAsia="黑体" w:cs="黑体"/>
          <w:sz w:val="36"/>
          <w:szCs w:val="36"/>
          <w:highlight w:val="none"/>
        </w:rPr>
        <w:t>采购单位：广西南宁技师学院</w:t>
      </w:r>
    </w:p>
    <w:p>
      <w:pPr>
        <w:spacing w:line="800" w:lineRule="exact"/>
        <w:jc w:val="center"/>
        <w:rPr>
          <w:rFonts w:eastAsia="黑体"/>
          <w:sz w:val="40"/>
          <w:szCs w:val="40"/>
          <w:highlight w:val="none"/>
        </w:rPr>
      </w:pPr>
      <w:r>
        <w:rPr>
          <w:rFonts w:eastAsia="黑体"/>
          <w:sz w:val="40"/>
          <w:szCs w:val="40"/>
          <w:highlight w:val="none"/>
        </w:rPr>
        <w:t>202</w:t>
      </w:r>
      <w:r>
        <w:rPr>
          <w:rFonts w:hint="eastAsia" w:eastAsia="黑体"/>
          <w:sz w:val="40"/>
          <w:szCs w:val="40"/>
          <w:highlight w:val="none"/>
          <w:lang w:val="en-US" w:eastAsia="zh-CN"/>
        </w:rPr>
        <w:t>5</w:t>
      </w:r>
      <w:r>
        <w:rPr>
          <w:rFonts w:hint="eastAsia" w:eastAsia="黑体" w:cs="黑体"/>
          <w:sz w:val="40"/>
          <w:szCs w:val="40"/>
          <w:highlight w:val="none"/>
        </w:rPr>
        <w:t xml:space="preserve">年 </w:t>
      </w:r>
      <w:r>
        <w:rPr>
          <w:rFonts w:hint="eastAsia" w:eastAsia="黑体" w:cs="黑体"/>
          <w:sz w:val="40"/>
          <w:szCs w:val="40"/>
          <w:highlight w:val="none"/>
          <w:lang w:val="en-US" w:eastAsia="zh-CN"/>
        </w:rPr>
        <w:t>4</w:t>
      </w:r>
      <w:r>
        <w:rPr>
          <w:rFonts w:hint="eastAsia" w:eastAsia="黑体" w:cs="黑体"/>
          <w:sz w:val="40"/>
          <w:szCs w:val="40"/>
          <w:highlight w:val="none"/>
        </w:rPr>
        <w:t xml:space="preserve"> 月</w:t>
      </w:r>
    </w:p>
    <w:p>
      <w:pPr>
        <w:rPr>
          <w:rFonts w:ascii="黑体" w:hAnsi="宋体" w:eastAsia="黑体"/>
          <w:color w:val="FF0000"/>
          <w:sz w:val="30"/>
          <w:szCs w:val="30"/>
          <w:highlight w:val="none"/>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highlight w:val="none"/>
          <w:u w:val="single"/>
        </w:rPr>
        <w:t xml:space="preserve"> </w:t>
      </w:r>
      <w:r>
        <w:rPr>
          <w:rFonts w:ascii="黑体" w:hAnsi="宋体" w:eastAsia="黑体"/>
          <w:color w:val="FF0000"/>
          <w:sz w:val="30"/>
          <w:szCs w:val="30"/>
          <w:highlight w:val="none"/>
          <w:u w:val="single"/>
        </w:rPr>
        <w:t xml:space="preserve"> </w:t>
      </w:r>
    </w:p>
    <w:p>
      <w:pPr>
        <w:jc w:val="center"/>
        <w:rPr>
          <w:rFonts w:ascii="黑体" w:eastAsia="黑体"/>
          <w:b/>
          <w:bCs/>
          <w:sz w:val="40"/>
          <w:szCs w:val="40"/>
          <w:highlight w:val="none"/>
        </w:rPr>
      </w:pPr>
      <w:r>
        <w:rPr>
          <w:rFonts w:hint="eastAsia" w:ascii="黑体" w:eastAsia="黑体" w:cs="黑体"/>
          <w:b/>
          <w:bCs/>
          <w:sz w:val="40"/>
          <w:szCs w:val="40"/>
          <w:highlight w:val="none"/>
        </w:rPr>
        <w:t>目　录</w:t>
      </w:r>
    </w:p>
    <w:p>
      <w:pPr>
        <w:pStyle w:val="24"/>
        <w:tabs>
          <w:tab w:val="right" w:leader="dot" w:pos="8306"/>
          <w:tab w:val="clear" w:pos="8299"/>
        </w:tabs>
        <w:spacing w:line="480" w:lineRule="auto"/>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highlight w:val="none"/>
        </w:rPr>
        <w:fldChar w:fldCharType="begin"/>
      </w:r>
      <w:r>
        <w:rPr>
          <w:highlight w:val="none"/>
        </w:rPr>
        <w:instrText xml:space="preserve"> HYPERLINK \l "_Toc22334" </w:instrText>
      </w:r>
      <w:r>
        <w:rPr>
          <w:highlight w:val="none"/>
        </w:rPr>
        <w:fldChar w:fldCharType="separate"/>
      </w:r>
      <w:r>
        <w:rPr>
          <w:rFonts w:hint="eastAsia"/>
          <w:sz w:val="28"/>
          <w:szCs w:val="28"/>
          <w:highlight w:val="none"/>
        </w:rPr>
        <w:t>第一章</w:t>
      </w:r>
      <w:r>
        <w:rPr>
          <w:sz w:val="28"/>
          <w:szCs w:val="28"/>
          <w:highlight w:val="none"/>
        </w:rPr>
        <w:t xml:space="preserve">  </w:t>
      </w:r>
      <w:r>
        <w:rPr>
          <w:rFonts w:hint="eastAsia"/>
          <w:sz w:val="28"/>
          <w:szCs w:val="28"/>
          <w:highlight w:val="none"/>
        </w:rPr>
        <w:t>询价公告</w:t>
      </w:r>
      <w:r>
        <w:rPr>
          <w:sz w:val="28"/>
          <w:szCs w:val="28"/>
          <w:highlight w:val="none"/>
        </w:rPr>
        <w:tab/>
      </w:r>
      <w:r>
        <w:rPr>
          <w:sz w:val="28"/>
          <w:szCs w:val="28"/>
          <w:highlight w:val="none"/>
        </w:rPr>
        <w:fldChar w:fldCharType="begin"/>
      </w:r>
      <w:r>
        <w:rPr>
          <w:sz w:val="28"/>
          <w:szCs w:val="28"/>
          <w:highlight w:val="none"/>
        </w:rPr>
        <w:instrText xml:space="preserve"> PAGEREF _Toc22334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24"/>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"_Toc10615" </w:instrText>
      </w:r>
      <w:r>
        <w:rPr>
          <w:highlight w:val="none"/>
        </w:rPr>
        <w:fldChar w:fldCharType="separate"/>
      </w:r>
      <w:r>
        <w:rPr>
          <w:rFonts w:hint="eastAsia"/>
          <w:sz w:val="28"/>
          <w:szCs w:val="28"/>
          <w:highlight w:val="none"/>
        </w:rPr>
        <w:t>第二章　采购需求书</w:t>
      </w:r>
      <w:r>
        <w:rPr>
          <w:sz w:val="28"/>
          <w:szCs w:val="28"/>
          <w:highlight w:val="none"/>
        </w:rPr>
        <w:tab/>
      </w:r>
      <w:r>
        <w:rPr>
          <w:sz w:val="28"/>
          <w:szCs w:val="28"/>
          <w:highlight w:val="none"/>
        </w:rPr>
        <w:fldChar w:fldCharType="begin"/>
      </w:r>
      <w:r>
        <w:rPr>
          <w:sz w:val="28"/>
          <w:szCs w:val="28"/>
          <w:highlight w:val="none"/>
        </w:rPr>
        <w:instrText xml:space="preserve"> PAGEREF _Toc10615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pPr>
        <w:pStyle w:val="24"/>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"_Toc31253" </w:instrText>
      </w:r>
      <w:r>
        <w:rPr>
          <w:highlight w:val="none"/>
        </w:rPr>
        <w:fldChar w:fldCharType="separate"/>
      </w:r>
      <w:r>
        <w:rPr>
          <w:rFonts w:hint="eastAsia"/>
          <w:sz w:val="28"/>
          <w:szCs w:val="28"/>
          <w:highlight w:val="none"/>
        </w:rPr>
        <w:t>第三章 询价须知</w:t>
      </w:r>
      <w:r>
        <w:rPr>
          <w:sz w:val="28"/>
          <w:szCs w:val="28"/>
          <w:highlight w:val="none"/>
        </w:rPr>
        <w:tab/>
      </w:r>
      <w:r>
        <w:rPr>
          <w:sz w:val="28"/>
          <w:szCs w:val="28"/>
          <w:highlight w:val="none"/>
        </w:rPr>
        <w:fldChar w:fldCharType="begin"/>
      </w:r>
      <w:r>
        <w:rPr>
          <w:sz w:val="28"/>
          <w:szCs w:val="28"/>
          <w:highlight w:val="none"/>
        </w:rPr>
        <w:instrText xml:space="preserve"> PAGEREF _Toc31253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pPr>
        <w:pStyle w:val="24"/>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"_Toc4423" </w:instrText>
      </w:r>
      <w:r>
        <w:rPr>
          <w:highlight w:val="none"/>
        </w:rPr>
        <w:fldChar w:fldCharType="separate"/>
      </w:r>
      <w:r>
        <w:rPr>
          <w:rFonts w:hint="eastAsia"/>
          <w:sz w:val="28"/>
          <w:szCs w:val="28"/>
          <w:highlight w:val="none"/>
        </w:rPr>
        <w:t>第四章 合同格式</w:t>
      </w:r>
      <w:r>
        <w:rPr>
          <w:sz w:val="28"/>
          <w:szCs w:val="28"/>
          <w:highlight w:val="none"/>
        </w:rPr>
        <w:tab/>
      </w:r>
      <w:r>
        <w:rPr>
          <w:sz w:val="28"/>
          <w:szCs w:val="28"/>
          <w:highlight w:val="none"/>
        </w:rPr>
        <w:fldChar w:fldCharType="begin"/>
      </w:r>
      <w:r>
        <w:rPr>
          <w:sz w:val="28"/>
          <w:szCs w:val="28"/>
          <w:highlight w:val="none"/>
        </w:rPr>
        <w:instrText xml:space="preserve"> PAGEREF _Toc4423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pPr>
        <w:pStyle w:val="24"/>
        <w:tabs>
          <w:tab w:val="right" w:leader="dot" w:pos="8306"/>
          <w:tab w:val="clear" w:pos="8299"/>
        </w:tabs>
        <w:spacing w:line="480" w:lineRule="auto"/>
        <w:rPr>
          <w:sz w:val="28"/>
          <w:szCs w:val="28"/>
          <w:highlight w:val="none"/>
        </w:rPr>
      </w:pPr>
      <w:r>
        <w:rPr>
          <w:highlight w:val="none"/>
        </w:rPr>
        <w:fldChar w:fldCharType="begin"/>
      </w:r>
      <w:r>
        <w:rPr>
          <w:highlight w:val="none"/>
        </w:rPr>
        <w:instrText xml:space="preserve"> HYPERLINK \l "_Toc30130" </w:instrText>
      </w:r>
      <w:r>
        <w:rPr>
          <w:highlight w:val="none"/>
        </w:rPr>
        <w:fldChar w:fldCharType="separate"/>
      </w:r>
      <w:r>
        <w:rPr>
          <w:rFonts w:hint="eastAsia"/>
          <w:sz w:val="28"/>
          <w:szCs w:val="28"/>
          <w:highlight w:val="none"/>
        </w:rPr>
        <w:t>第五章 响应文件格式</w:t>
      </w:r>
      <w:r>
        <w:rPr>
          <w:sz w:val="28"/>
          <w:szCs w:val="28"/>
          <w:highlight w:val="none"/>
        </w:rPr>
        <w:tab/>
      </w:r>
      <w:r>
        <w:rPr>
          <w:sz w:val="28"/>
          <w:szCs w:val="28"/>
          <w:highlight w:val="none"/>
        </w:rPr>
        <w:fldChar w:fldCharType="begin"/>
      </w:r>
      <w:r>
        <w:rPr>
          <w:sz w:val="28"/>
          <w:szCs w:val="28"/>
          <w:highlight w:val="none"/>
        </w:rPr>
        <w:instrText xml:space="preserve"> PAGEREF _Toc30130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pPr>
        <w:pStyle w:val="2"/>
        <w:spacing w:line="480" w:lineRule="auto"/>
        <w:ind w:firstLine="560" w:firstLineChars="200"/>
        <w:jc w:val="left"/>
        <w:rPr>
          <w:rFonts w:ascii="宋体" w:hAnsi="宋体"/>
          <w:sz w:val="36"/>
          <w:szCs w:val="36"/>
          <w:highlight w:val="none"/>
        </w:rPr>
      </w:pPr>
      <w:r>
        <w:rPr>
          <w:rFonts w:ascii="宋体" w:hAnsi="宋体"/>
          <w:sz w:val="28"/>
          <w:szCs w:val="28"/>
          <w:highlight w:val="none"/>
        </w:rPr>
        <w:fldChar w:fldCharType="end"/>
      </w:r>
    </w:p>
    <w:p>
      <w:pPr>
        <w:pStyle w:val="2"/>
        <w:ind w:firstLine="0" w:firstLineChars="0"/>
        <w:jc w:val="left"/>
        <w:rPr>
          <w:rFonts w:ascii="宋体" w:hAnsi="宋体"/>
          <w:sz w:val="28"/>
          <w:szCs w:val="28"/>
          <w:highlight w:val="none"/>
        </w:rPr>
      </w:pPr>
      <w:r>
        <w:rPr>
          <w:rFonts w:ascii="宋体" w:hAnsi="宋体"/>
          <w:sz w:val="28"/>
          <w:szCs w:val="28"/>
          <w:highlight w:val="none"/>
        </w:rPr>
        <w:br w:type="column"/>
      </w:r>
    </w:p>
    <w:p>
      <w:pPr>
        <w:pStyle w:val="3"/>
        <w:jc w:val="center"/>
        <w:rPr>
          <w:rFonts w:ascii="宋体" w:hAnsi="宋体" w:cs="宋体"/>
          <w:kern w:val="28"/>
          <w:sz w:val="36"/>
          <w:szCs w:val="36"/>
          <w:highlight w:val="none"/>
        </w:rPr>
      </w:pPr>
      <w:bookmarkStart w:id="1" w:name="_Toc22334"/>
      <w:r>
        <w:rPr>
          <w:rFonts w:hint="eastAsia"/>
          <w:sz w:val="36"/>
          <w:szCs w:val="36"/>
          <w:highlight w:val="none"/>
        </w:rPr>
        <w:t>第一章</w:t>
      </w:r>
      <w:r>
        <w:rPr>
          <w:sz w:val="36"/>
          <w:szCs w:val="36"/>
          <w:highlight w:val="none"/>
        </w:rPr>
        <w:t xml:space="preserve">  </w:t>
      </w:r>
      <w:r>
        <w:rPr>
          <w:rFonts w:hint="eastAsia"/>
          <w:sz w:val="36"/>
          <w:szCs w:val="36"/>
          <w:highlight w:val="none"/>
        </w:rPr>
        <w:t>询价公告</w:t>
      </w:r>
      <w:bookmarkEnd w:id="1"/>
    </w:p>
    <w:p>
      <w:pPr>
        <w:spacing w:line="360" w:lineRule="auto"/>
        <w:ind w:firstLine="420" w:firstLineChars="200"/>
        <w:jc w:val="left"/>
        <w:rPr>
          <w:rFonts w:ascii="宋体" w:hAnsi="宋体"/>
          <w:sz w:val="28"/>
          <w:szCs w:val="28"/>
          <w:highlight w:val="none"/>
        </w:rPr>
      </w:pPr>
      <w:r>
        <w:rPr>
          <w:rFonts w:hint="eastAsia" w:ascii="宋体" w:hAnsi="宋体" w:cs="宋体"/>
          <w:kern w:val="28"/>
          <w:highlight w:val="none"/>
        </w:rPr>
        <w:t>广西南宁技师学院（以下简称“采购人”）对广西南宁技师学院</w:t>
      </w:r>
      <w:r>
        <w:rPr>
          <w:rFonts w:hint="eastAsia" w:cs="宋体"/>
          <w:kern w:val="28"/>
          <w:highlight w:val="none"/>
        </w:rPr>
        <w:t>202</w:t>
      </w:r>
      <w:r>
        <w:rPr>
          <w:rFonts w:hint="eastAsia" w:cs="宋体"/>
          <w:kern w:val="28"/>
          <w:highlight w:val="none"/>
          <w:lang w:val="en-US" w:eastAsia="zh-CN"/>
        </w:rPr>
        <w:t>5</w:t>
      </w:r>
      <w:r>
        <w:rPr>
          <w:rFonts w:hint="eastAsia" w:cs="宋体"/>
          <w:kern w:val="28"/>
          <w:highlight w:val="none"/>
        </w:rPr>
        <w:t>年新校区28台电梯维保服务</w:t>
      </w:r>
      <w:r>
        <w:rPr>
          <w:rFonts w:hint="eastAsia" w:ascii="宋体" w:hAnsi="宋体" w:cs="宋体"/>
          <w:kern w:val="28"/>
          <w:highlight w:val="none"/>
        </w:rPr>
        <w:t>项目以询价方式采购，欢迎符合资格条件的供应商参加。</w:t>
      </w:r>
    </w:p>
    <w:p>
      <w:pPr>
        <w:spacing w:line="360" w:lineRule="auto"/>
        <w:ind w:firstLine="420" w:firstLineChars="200"/>
        <w:rPr>
          <w:rFonts w:ascii="宋体" w:hAnsi="宋体"/>
          <w:kern w:val="28"/>
          <w:highlight w:val="none"/>
        </w:rPr>
      </w:pPr>
      <w:r>
        <w:rPr>
          <w:rFonts w:hint="eastAsia" w:ascii="宋体" w:hAnsi="宋体" w:cs="宋体"/>
          <w:kern w:val="28"/>
          <w:highlight w:val="none"/>
        </w:rPr>
        <w:t>一、采购项目编号：GXNNJSXY2025004HQ02C</w:t>
      </w:r>
    </w:p>
    <w:p>
      <w:pPr>
        <w:spacing w:line="360" w:lineRule="auto"/>
        <w:ind w:firstLine="420" w:firstLineChars="200"/>
        <w:rPr>
          <w:rFonts w:ascii="宋体" w:hAnsi="宋体"/>
          <w:kern w:val="28"/>
          <w:highlight w:val="none"/>
        </w:rPr>
      </w:pPr>
      <w:r>
        <w:rPr>
          <w:rFonts w:hint="eastAsia" w:ascii="宋体" w:hAnsi="宋体" w:cs="宋体"/>
          <w:kern w:val="28"/>
          <w:highlight w:val="none"/>
        </w:rPr>
        <w:t>二、项目名称：广西南宁技师学院</w:t>
      </w:r>
      <w:r>
        <w:rPr>
          <w:rFonts w:hint="eastAsia" w:cs="宋体"/>
          <w:kern w:val="28"/>
          <w:highlight w:val="none"/>
        </w:rPr>
        <w:t>202</w:t>
      </w:r>
      <w:r>
        <w:rPr>
          <w:rFonts w:hint="eastAsia" w:cs="宋体"/>
          <w:kern w:val="28"/>
          <w:highlight w:val="none"/>
          <w:lang w:val="en-US" w:eastAsia="zh-CN"/>
        </w:rPr>
        <w:t>5</w:t>
      </w:r>
      <w:r>
        <w:rPr>
          <w:rFonts w:hint="eastAsia" w:cs="宋体"/>
          <w:kern w:val="28"/>
          <w:highlight w:val="none"/>
        </w:rPr>
        <w:t>年新校区28台电梯维保服务</w:t>
      </w:r>
      <w:r>
        <w:rPr>
          <w:rFonts w:hint="eastAsia" w:ascii="宋体" w:hAnsi="宋体" w:cs="宋体"/>
          <w:kern w:val="28"/>
          <w:highlight w:val="none"/>
        </w:rPr>
        <w:t>项目</w:t>
      </w:r>
    </w:p>
    <w:p>
      <w:pPr>
        <w:spacing w:line="360" w:lineRule="auto"/>
        <w:ind w:firstLine="420" w:firstLineChars="200"/>
        <w:rPr>
          <w:rFonts w:ascii="宋体" w:hAnsi="宋体"/>
          <w:kern w:val="28"/>
          <w:highlight w:val="none"/>
        </w:rPr>
      </w:pPr>
      <w:r>
        <w:rPr>
          <w:rFonts w:hint="eastAsia" w:ascii="宋体" w:hAnsi="宋体" w:cs="宋体"/>
          <w:kern w:val="28"/>
          <w:highlight w:val="none"/>
        </w:rPr>
        <w:t>三、采购预算：</w:t>
      </w:r>
      <w:r>
        <w:rPr>
          <w:rFonts w:ascii="宋体" w:hAnsi="宋体"/>
          <w:kern w:val="28"/>
          <w:highlight w:val="none"/>
        </w:rPr>
        <w:t xml:space="preserve"> </w:t>
      </w:r>
      <w:r>
        <w:rPr>
          <w:rFonts w:ascii="宋体" w:hAnsi="宋体"/>
          <w:kern w:val="28"/>
          <w:highlight w:val="none"/>
          <w:u w:val="single"/>
        </w:rPr>
        <w:t xml:space="preserve"> </w:t>
      </w:r>
      <w:r>
        <w:rPr>
          <w:rFonts w:hint="eastAsia" w:ascii="宋体" w:hAnsi="宋体"/>
          <w:kern w:val="28"/>
          <w:highlight w:val="none"/>
          <w:u w:val="single"/>
        </w:rPr>
        <w:t>￥1</w:t>
      </w:r>
      <w:r>
        <w:rPr>
          <w:rFonts w:hint="eastAsia" w:ascii="宋体" w:hAnsi="宋体"/>
          <w:kern w:val="28"/>
          <w:highlight w:val="none"/>
          <w:u w:val="single"/>
          <w:lang w:val="en-US" w:eastAsia="zh-CN"/>
        </w:rPr>
        <w:t>0</w:t>
      </w:r>
      <w:r>
        <w:rPr>
          <w:rFonts w:hint="eastAsia" w:ascii="宋体" w:hAnsi="宋体"/>
          <w:kern w:val="28"/>
          <w:highlight w:val="none"/>
          <w:u w:val="single"/>
        </w:rPr>
        <w:t>0000</w:t>
      </w:r>
      <w:r>
        <w:rPr>
          <w:rFonts w:ascii="宋体" w:hAnsi="宋体"/>
          <w:kern w:val="28"/>
          <w:highlight w:val="none"/>
          <w:u w:val="single"/>
        </w:rPr>
        <w:t xml:space="preserve">  </w:t>
      </w:r>
      <w:r>
        <w:rPr>
          <w:rFonts w:hint="eastAsia" w:ascii="宋体" w:hAnsi="宋体" w:cs="宋体"/>
          <w:highlight w:val="none"/>
        </w:rPr>
        <w:t>元</w:t>
      </w:r>
    </w:p>
    <w:p>
      <w:pPr>
        <w:autoSpaceDE w:val="0"/>
        <w:autoSpaceDN w:val="0"/>
        <w:adjustRightInd w:val="0"/>
        <w:snapToGrid w:val="0"/>
        <w:spacing w:line="360" w:lineRule="auto"/>
        <w:ind w:firstLine="420" w:firstLineChars="200"/>
        <w:rPr>
          <w:rFonts w:ascii="宋体" w:hAnsi="宋体" w:cs="宋体"/>
          <w:highlight w:val="none"/>
          <w:lang w:val="zh-CN"/>
        </w:rPr>
      </w:pPr>
      <w:r>
        <w:rPr>
          <w:rFonts w:hint="eastAsia" w:ascii="宋体" w:hAnsi="宋体" w:cs="宋体"/>
          <w:highlight w:val="none"/>
          <w:lang w:val="zh-CN"/>
        </w:rPr>
        <w:t>四、采购数量：</w:t>
      </w:r>
      <w:r>
        <w:rPr>
          <w:rFonts w:ascii="宋体" w:hAnsi="宋体" w:cs="宋体"/>
          <w:highlight w:val="none"/>
          <w:lang w:val="zh-CN"/>
        </w:rPr>
        <w:t>1</w:t>
      </w:r>
      <w:r>
        <w:rPr>
          <w:rFonts w:hint="eastAsia" w:ascii="宋体" w:hAnsi="宋体" w:cs="宋体"/>
          <w:highlight w:val="none"/>
          <w:lang w:val="zh-CN"/>
        </w:rPr>
        <w:t>批。</w:t>
      </w:r>
    </w:p>
    <w:p>
      <w:pPr>
        <w:pStyle w:val="2"/>
        <w:ind w:firstLineChars="200"/>
        <w:rPr>
          <w:highlight w:val="none"/>
        </w:rPr>
      </w:pPr>
      <w:r>
        <w:rPr>
          <w:rFonts w:hint="eastAsia" w:ascii="宋体" w:hAnsi="宋体" w:cs="宋体"/>
          <w:highlight w:val="none"/>
        </w:rPr>
        <w:t>五、采购方式：询价</w:t>
      </w:r>
    </w:p>
    <w:p>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cs="宋体"/>
          <w:highlight w:val="none"/>
        </w:rPr>
        <w:t>六</w:t>
      </w:r>
      <w:r>
        <w:rPr>
          <w:rFonts w:hint="eastAsia" w:ascii="宋体" w:hAnsi="宋体" w:cs="宋体"/>
          <w:highlight w:val="none"/>
          <w:lang w:val="zh-CN"/>
        </w:rPr>
        <w:t>、采购</w:t>
      </w:r>
      <w:r>
        <w:rPr>
          <w:rFonts w:hint="eastAsia" w:ascii="宋体" w:hAnsi="宋体" w:cs="宋体"/>
          <w:highlight w:val="none"/>
        </w:rPr>
        <w:t>项目内容及其它要求</w:t>
      </w:r>
    </w:p>
    <w:p>
      <w:pPr>
        <w:widowControl/>
        <w:spacing w:line="360" w:lineRule="auto"/>
        <w:ind w:firstLine="420" w:firstLineChars="200"/>
        <w:jc w:val="left"/>
        <w:rPr>
          <w:rFonts w:ascii="宋体" w:hAnsi="宋体" w:cs="宋体"/>
          <w:highlight w:val="none"/>
        </w:rPr>
      </w:pPr>
      <w:r>
        <w:rPr>
          <w:rFonts w:hint="eastAsia" w:ascii="宋体" w:hAnsi="宋体" w:cs="宋体"/>
          <w:highlight w:val="none"/>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highlight w:val="none"/>
        </w:rPr>
      </w:pPr>
      <w:bookmarkStart w:id="2" w:name="_Hlk42690548"/>
      <w:r>
        <w:rPr>
          <w:rFonts w:hint="eastAsia" w:ascii="宋体" w:hAnsi="宋体"/>
          <w:highlight w:val="none"/>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highlight w:val="none"/>
        </w:rPr>
      </w:pPr>
      <w:r>
        <w:rPr>
          <w:rFonts w:hint="eastAsia" w:ascii="宋体" w:hAnsi="宋体" w:cs="宋体"/>
          <w:highlight w:val="none"/>
        </w:rPr>
        <w:t>3.本项目不允许提交备选方案。</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highlight w:val="none"/>
        </w:rPr>
      </w:pPr>
      <w:r>
        <w:rPr>
          <w:rFonts w:hint="eastAsia" w:ascii="宋体" w:hAnsi="宋体" w:cs="宋体"/>
          <w:highlight w:val="none"/>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highlight w:val="none"/>
        </w:rPr>
      </w:pPr>
      <w:r>
        <w:rPr>
          <w:rFonts w:hint="eastAsia" w:ascii="宋体" w:hAnsi="宋体" w:cs="宋体"/>
          <w:kern w:val="28"/>
          <w:highlight w:val="none"/>
        </w:rPr>
        <w:t>2.符合《中华人民共和国政府采购法》第二十二条所规定的条件</w:t>
      </w:r>
      <w:r>
        <w:rPr>
          <w:rFonts w:hint="eastAsia" w:ascii="宋体" w:hAnsi="宋体" w:cs="宋体"/>
          <w:highlight w:val="none"/>
        </w:rPr>
        <w:t>（提供</w:t>
      </w:r>
      <w:r>
        <w:rPr>
          <w:rFonts w:hint="eastAsia" w:ascii="宋体" w:hAnsi="宋体" w:cs="宋体"/>
          <w:kern w:val="28"/>
          <w:highlight w:val="none"/>
        </w:rPr>
        <w:t>《投标人资格声明函》</w:t>
      </w:r>
      <w:r>
        <w:rPr>
          <w:rFonts w:hint="eastAsia" w:ascii="宋体" w:hAnsi="宋体" w:cs="宋体"/>
          <w:highlight w:val="none"/>
        </w:rPr>
        <w:t>）</w:t>
      </w:r>
    </w:p>
    <w:p>
      <w:pPr>
        <w:ind w:firstLine="420" w:firstLineChars="200"/>
        <w:rPr>
          <w:rFonts w:ascii="宋体" w:hAnsi="宋体"/>
          <w:highlight w:val="none"/>
        </w:rPr>
      </w:pPr>
      <w:r>
        <w:rPr>
          <w:rFonts w:hint="eastAsia" w:ascii="宋体" w:hAnsi="宋体"/>
          <w:highlight w:val="none"/>
        </w:rPr>
        <w:t>3.本项目的特定资格要求：投标人必须提供投标单位特种设备安装改造维修许可证复印件，投标人的行业资质需为B级以上（含B级）证明，且所有复印件需加盖公章。</w:t>
      </w:r>
    </w:p>
    <w:p>
      <w:pPr>
        <w:spacing w:line="360" w:lineRule="auto"/>
        <w:ind w:firstLine="420" w:firstLineChars="200"/>
        <w:rPr>
          <w:rFonts w:ascii="宋体" w:hAnsi="宋体"/>
          <w:highlight w:val="none"/>
        </w:rPr>
      </w:pPr>
      <w:r>
        <w:rPr>
          <w:rFonts w:hint="eastAsia" w:ascii="宋体" w:hAnsi="宋体"/>
          <w:highlight w:val="none"/>
        </w:rPr>
        <w:t>4. 本项目的特定条件：无</w:t>
      </w:r>
    </w:p>
    <w:p>
      <w:pPr>
        <w:widowControl/>
        <w:spacing w:line="360" w:lineRule="auto"/>
        <w:ind w:firstLine="420" w:firstLineChars="200"/>
        <w:rPr>
          <w:rFonts w:ascii="宋体" w:hAnsi="宋体"/>
          <w:kern w:val="28"/>
          <w:highlight w:val="none"/>
        </w:rPr>
      </w:pPr>
      <w:r>
        <w:rPr>
          <w:rFonts w:hint="eastAsia" w:ascii="宋体" w:hAnsi="宋体" w:cs="宋体"/>
          <w:kern w:val="28"/>
          <w:highlight w:val="none"/>
        </w:rPr>
        <w:t>5.</w:t>
      </w:r>
      <w:r>
        <w:rPr>
          <w:rFonts w:hint="eastAsia" w:ascii="宋体" w:hAnsi="宋体"/>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highlight w:val="none"/>
        </w:rPr>
      </w:pPr>
      <w:r>
        <w:rPr>
          <w:rFonts w:hint="eastAsia" w:ascii="宋体" w:hAnsi="宋体" w:cs="宋体"/>
          <w:kern w:val="28"/>
          <w:highlight w:val="none"/>
        </w:rPr>
        <w:t>6.</w:t>
      </w:r>
      <w:r>
        <w:rPr>
          <w:rFonts w:hint="eastAsia" w:ascii="宋体" w:hAnsi="宋体"/>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highlight w:val="none"/>
        </w:rPr>
      </w:pPr>
      <w:r>
        <w:rPr>
          <w:rFonts w:hint="eastAsia" w:ascii="宋体" w:hAnsi="宋体" w:cs="宋体"/>
          <w:highlight w:val="none"/>
        </w:rPr>
        <w:t>7.本项目不接受联合体投标</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八、响应文件递交截止时间：202</w:t>
      </w:r>
      <w:r>
        <w:rPr>
          <w:rFonts w:hint="eastAsia" w:ascii="宋体" w:hAnsi="宋体" w:cs="宋体"/>
          <w:highlight w:val="none"/>
          <w:lang w:val="en-US" w:eastAsia="zh-CN"/>
        </w:rPr>
        <w:t>5</w:t>
      </w:r>
      <w:r>
        <w:rPr>
          <w:rFonts w:hint="eastAsia" w:ascii="宋体" w:hAnsi="宋体" w:cs="宋体"/>
          <w:highlight w:val="none"/>
        </w:rPr>
        <w:t xml:space="preserve">年 </w:t>
      </w:r>
      <w:r>
        <w:rPr>
          <w:rFonts w:hint="eastAsia" w:ascii="宋体" w:hAnsi="宋体" w:cs="宋体"/>
          <w:highlight w:val="none"/>
          <w:lang w:val="en-US" w:eastAsia="zh-CN"/>
        </w:rPr>
        <w:t>4</w:t>
      </w:r>
      <w:r>
        <w:rPr>
          <w:rFonts w:hint="eastAsia" w:ascii="宋体" w:hAnsi="宋体" w:cs="宋体"/>
          <w:highlight w:val="none"/>
        </w:rPr>
        <w:t xml:space="preserve">月 </w:t>
      </w:r>
      <w:r>
        <w:rPr>
          <w:rFonts w:hint="eastAsia" w:ascii="宋体" w:hAnsi="宋体" w:cs="宋体"/>
          <w:highlight w:val="none"/>
          <w:lang w:val="en-US" w:eastAsia="zh-CN"/>
        </w:rPr>
        <w:t>11</w:t>
      </w:r>
      <w:r>
        <w:rPr>
          <w:rFonts w:hint="eastAsia" w:ascii="宋体" w:hAnsi="宋体" w:cs="宋体"/>
          <w:highlight w:val="none"/>
        </w:rPr>
        <w:t xml:space="preserve"> 日</w:t>
      </w:r>
      <w:r>
        <w:rPr>
          <w:rFonts w:hint="eastAsia" w:ascii="宋体" w:hAnsi="宋体" w:cs="宋体"/>
          <w:highlight w:val="none"/>
          <w:lang w:val="en-US" w:eastAsia="zh-CN"/>
        </w:rPr>
        <w:t>下</w:t>
      </w:r>
      <w:r>
        <w:rPr>
          <w:rFonts w:hint="eastAsia" w:ascii="宋体" w:hAnsi="宋体" w:cs="宋体"/>
          <w:highlight w:val="none"/>
        </w:rPr>
        <w:t xml:space="preserve">午 </w:t>
      </w:r>
      <w:r>
        <w:rPr>
          <w:rFonts w:hint="eastAsia" w:ascii="宋体" w:hAnsi="宋体" w:cs="宋体"/>
          <w:highlight w:val="none"/>
          <w:lang w:val="en-US" w:eastAsia="zh-CN"/>
        </w:rPr>
        <w:t>16:00</w:t>
      </w:r>
      <w:r>
        <w:rPr>
          <w:rFonts w:hint="eastAsia" w:ascii="宋体" w:hAnsi="宋体" w:cs="宋体"/>
          <w:highlight w:val="none"/>
        </w:rPr>
        <w:t xml:space="preserve"> 。</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九、响应文件</w:t>
      </w:r>
      <w:r>
        <w:rPr>
          <w:rFonts w:hint="eastAsia" w:ascii="宋体" w:hAnsi="宋体" w:cs="宋体"/>
          <w:highlight w:val="none"/>
          <w:lang w:val="zh-CN"/>
        </w:rPr>
        <w:t>递交</w:t>
      </w:r>
      <w:r>
        <w:rPr>
          <w:rFonts w:hint="eastAsia" w:ascii="宋体" w:hAnsi="宋体" w:cs="宋体"/>
          <w:highlight w:val="none"/>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十、联系事项</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p>
    <w:p>
      <w:pPr>
        <w:adjustRightInd w:val="0"/>
        <w:snapToGrid w:val="0"/>
        <w:spacing w:line="360" w:lineRule="auto"/>
        <w:ind w:firstLine="420" w:firstLineChars="200"/>
        <w:rPr>
          <w:rFonts w:ascii="宋体" w:hAnsi="宋体"/>
          <w:highlight w:val="none"/>
        </w:rPr>
      </w:pPr>
      <w:r>
        <w:rPr>
          <w:rFonts w:hint="eastAsia" w:ascii="宋体" w:hAnsi="宋体" w:cs="宋体"/>
          <w:highlight w:val="none"/>
        </w:rPr>
        <w:t>联系地址：南宁市大学西路157号</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pPr>
        <w:adjustRightInd w:val="0"/>
        <w:snapToGrid w:val="0"/>
        <w:spacing w:line="360" w:lineRule="auto"/>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pPr>
        <w:spacing w:line="360" w:lineRule="auto"/>
        <w:ind w:right="840" w:firstLine="420" w:firstLineChars="200"/>
        <w:jc w:val="right"/>
        <w:rPr>
          <w:rFonts w:ascii="宋体" w:hAnsi="宋体"/>
          <w:highlight w:val="none"/>
        </w:rPr>
      </w:pPr>
      <w:r>
        <w:rPr>
          <w:rFonts w:hint="eastAsia" w:ascii="宋体" w:hAnsi="宋体" w:cs="宋体"/>
          <w:highlight w:val="none"/>
        </w:rPr>
        <w:t>发布时间：</w:t>
      </w:r>
      <w:r>
        <w:rPr>
          <w:rFonts w:hint="eastAsia" w:ascii="宋体" w:hAnsi="宋体"/>
          <w:highlight w:val="none"/>
        </w:rPr>
        <w:t>202</w:t>
      </w:r>
      <w:r>
        <w:rPr>
          <w:rFonts w:hint="eastAsia" w:ascii="宋体" w:hAnsi="宋体"/>
          <w:highlight w:val="none"/>
          <w:lang w:val="en-US" w:eastAsia="zh-CN"/>
        </w:rPr>
        <w:t>5</w:t>
      </w:r>
      <w:r>
        <w:rPr>
          <w:rFonts w:hint="eastAsia" w:ascii="宋体" w:hAnsi="宋体"/>
          <w:highlight w:val="none"/>
        </w:rPr>
        <w:t xml:space="preserve">年 </w:t>
      </w:r>
      <w:r>
        <w:rPr>
          <w:rFonts w:hint="eastAsia" w:ascii="宋体" w:hAnsi="宋体"/>
          <w:highlight w:val="none"/>
          <w:lang w:val="en-US" w:eastAsia="zh-CN"/>
        </w:rPr>
        <w:t>4</w:t>
      </w:r>
      <w:r>
        <w:rPr>
          <w:rFonts w:hint="eastAsia" w:ascii="宋体" w:hAnsi="宋体"/>
          <w:highlight w:val="none"/>
        </w:rPr>
        <w:t xml:space="preserve">月 </w:t>
      </w:r>
      <w:r>
        <w:rPr>
          <w:rFonts w:hint="eastAsia" w:ascii="宋体" w:hAnsi="宋体"/>
          <w:highlight w:val="none"/>
          <w:lang w:val="en-US" w:eastAsia="zh-CN"/>
        </w:rPr>
        <w:t>8</w:t>
      </w:r>
      <w:r>
        <w:rPr>
          <w:rFonts w:hint="eastAsia" w:ascii="宋体" w:hAnsi="宋体"/>
          <w:highlight w:val="none"/>
        </w:rPr>
        <w:t xml:space="preserve">  日</w:t>
      </w:r>
    </w:p>
    <w:p>
      <w:pPr>
        <w:pStyle w:val="4"/>
        <w:rPr>
          <w:rFonts w:ascii="宋体" w:hAnsi="宋体"/>
          <w:highlight w:val="none"/>
        </w:rPr>
      </w:pPr>
    </w:p>
    <w:p>
      <w:pPr>
        <w:rPr>
          <w:rFonts w:ascii="宋体" w:hAnsi="宋体"/>
          <w:highlight w:val="none"/>
        </w:rPr>
      </w:pPr>
    </w:p>
    <w:p>
      <w:pPr>
        <w:pStyle w:val="4"/>
        <w:rPr>
          <w:rFonts w:ascii="宋体" w:hAnsi="宋体"/>
          <w:highlight w:val="none"/>
        </w:rPr>
      </w:pPr>
    </w:p>
    <w:p>
      <w:pPr>
        <w:rPr>
          <w:rFonts w:ascii="宋体" w:hAnsi="宋体"/>
          <w:highlight w:val="none"/>
        </w:rPr>
      </w:pPr>
    </w:p>
    <w:p>
      <w:pPr>
        <w:pStyle w:val="4"/>
        <w:rPr>
          <w:rFonts w:ascii="宋体" w:hAnsi="宋体"/>
          <w:highlight w:val="none"/>
        </w:rPr>
      </w:pPr>
    </w:p>
    <w:p>
      <w:pPr>
        <w:rPr>
          <w:rFonts w:ascii="宋体" w:hAnsi="宋体"/>
          <w:highlight w:val="none"/>
        </w:rPr>
      </w:pPr>
    </w:p>
    <w:p>
      <w:pPr>
        <w:spacing w:line="460" w:lineRule="exact"/>
        <w:rPr>
          <w:rFonts w:ascii="宋体" w:hAnsi="宋体" w:cs="宋体"/>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pStyle w:val="2"/>
        <w:ind w:firstLine="210"/>
        <w:rPr>
          <w:highlight w:val="none"/>
        </w:rPr>
      </w:pPr>
    </w:p>
    <w:p>
      <w:pPr>
        <w:spacing w:line="360" w:lineRule="auto"/>
        <w:jc w:val="center"/>
        <w:rPr>
          <w:rFonts w:ascii="黑体" w:eastAsia="黑体" w:cs="黑体"/>
          <w:sz w:val="32"/>
          <w:szCs w:val="32"/>
          <w:highlight w:val="none"/>
        </w:rPr>
      </w:pPr>
      <w:bookmarkStart w:id="3" w:name="_Toc23927923"/>
    </w:p>
    <w:p>
      <w:pPr>
        <w:spacing w:line="360" w:lineRule="auto"/>
        <w:jc w:val="center"/>
        <w:rPr>
          <w:rFonts w:ascii="黑体" w:eastAsia="黑体" w:cs="黑体"/>
          <w:sz w:val="32"/>
          <w:szCs w:val="32"/>
          <w:highlight w:val="none"/>
        </w:rPr>
      </w:pPr>
    </w:p>
    <w:p>
      <w:pPr>
        <w:spacing w:line="360" w:lineRule="auto"/>
        <w:jc w:val="both"/>
        <w:rPr>
          <w:rFonts w:ascii="黑体" w:eastAsia="黑体" w:cs="黑体"/>
          <w:sz w:val="32"/>
          <w:szCs w:val="32"/>
          <w:highlight w:val="none"/>
        </w:rPr>
      </w:pPr>
    </w:p>
    <w:p>
      <w:pPr>
        <w:pStyle w:val="3"/>
        <w:jc w:val="center"/>
        <w:rPr>
          <w:sz w:val="36"/>
          <w:szCs w:val="36"/>
          <w:highlight w:val="none"/>
        </w:rPr>
      </w:pPr>
      <w:bookmarkStart w:id="4" w:name="_Toc10615"/>
      <w:r>
        <w:rPr>
          <w:rFonts w:hint="eastAsia"/>
          <w:sz w:val="36"/>
          <w:szCs w:val="36"/>
          <w:highlight w:val="none"/>
        </w:rPr>
        <w:t>第二章　采购需求书</w:t>
      </w:r>
      <w:bookmarkEnd w:id="4"/>
    </w:p>
    <w:p>
      <w:pPr>
        <w:tabs>
          <w:tab w:val="left" w:pos="420"/>
          <w:tab w:val="left" w:pos="540"/>
          <w:tab w:val="left" w:pos="574"/>
        </w:tabs>
        <w:spacing w:line="360" w:lineRule="auto"/>
        <w:ind w:left="420"/>
        <w:outlineLvl w:val="0"/>
        <w:rPr>
          <w:rFonts w:ascii="宋体" w:hAnsi="宋体" w:cs="宋体"/>
          <w:b/>
          <w:bCs/>
          <w:highlight w:val="none"/>
        </w:rPr>
      </w:pPr>
      <w:bookmarkStart w:id="5" w:name="_Toc20382"/>
      <w:r>
        <w:rPr>
          <w:rFonts w:ascii="宋体" w:hAnsi="宋体" w:cs="宋体"/>
          <w:b/>
          <w:bCs/>
          <w:highlight w:val="none"/>
        </w:rPr>
        <w:t>一、</w:t>
      </w:r>
      <w:r>
        <w:rPr>
          <w:rFonts w:hint="eastAsia" w:ascii="宋体" w:hAnsi="宋体" w:cs="宋体"/>
          <w:b/>
          <w:bCs/>
          <w:highlight w:val="none"/>
        </w:rPr>
        <w:t>说明：</w:t>
      </w:r>
      <w:bookmarkEnd w:id="5"/>
    </w:p>
    <w:p>
      <w:pPr>
        <w:tabs>
          <w:tab w:val="left" w:pos="425"/>
        </w:tabs>
        <w:adjustRightInd w:val="0"/>
        <w:snapToGrid w:val="0"/>
        <w:spacing w:line="400" w:lineRule="exact"/>
        <w:ind w:firstLine="422" w:firstLineChars="200"/>
        <w:rPr>
          <w:rFonts w:ascii="宋体" w:hAnsi="宋体" w:cs="Times New Roman"/>
          <w:b/>
          <w:bCs/>
          <w:highlight w:val="none"/>
          <w:u w:val="double"/>
        </w:rPr>
      </w:pPr>
      <w:r>
        <w:rPr>
          <w:rFonts w:hint="eastAsia" w:ascii="宋体" w:hAnsi="宋体" w:cs="宋体"/>
          <w:b/>
          <w:bCs/>
          <w:highlight w:val="none"/>
          <w:u w:val="double"/>
        </w:rPr>
        <w:t>本项目最高限价为人民币1</w:t>
      </w:r>
      <w:r>
        <w:rPr>
          <w:rFonts w:hint="eastAsia" w:ascii="宋体" w:hAnsi="宋体" w:cs="宋体"/>
          <w:b/>
          <w:bCs/>
          <w:highlight w:val="none"/>
          <w:u w:val="double"/>
          <w:lang w:val="en-US" w:eastAsia="zh-CN"/>
        </w:rPr>
        <w:t>0</w:t>
      </w:r>
      <w:r>
        <w:rPr>
          <w:rFonts w:hint="eastAsia" w:ascii="宋体" w:hAnsi="宋体" w:cs="宋体"/>
          <w:b/>
          <w:bCs/>
          <w:highlight w:val="none"/>
          <w:u w:val="double"/>
        </w:rPr>
        <w:t>0000元，供应商的总报价不得超出其最高限价，否则视为无效投标。</w:t>
      </w:r>
    </w:p>
    <w:p>
      <w:pPr>
        <w:pStyle w:val="2"/>
        <w:ind w:firstLine="210"/>
        <w:rPr>
          <w:highlight w:val="none"/>
        </w:rPr>
      </w:pPr>
    </w:p>
    <w:p>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2.采购需求书中打“</w:t>
      </w:r>
      <w:r>
        <w:rPr>
          <w:rFonts w:hint="eastAsia" w:ascii="宋体" w:hAnsi="Times New Roman" w:cs="宋体"/>
          <w:highlight w:val="none"/>
          <w:lang w:eastAsia="zh-CN"/>
        </w:rPr>
        <w:t>▲</w:t>
      </w:r>
      <w:r>
        <w:rPr>
          <w:rFonts w:hint="eastAsia" w:ascii="宋体" w:hAnsi="Times New Roman" w:cs="宋体"/>
          <w:highlight w:val="none"/>
        </w:rPr>
        <w:t>”号条款为实质性条款，供应商如有任何一条负偏离则导致投标无效。</w:t>
      </w:r>
    </w:p>
    <w:p>
      <w:pPr>
        <w:snapToGrid w:val="0"/>
        <w:spacing w:line="360" w:lineRule="auto"/>
        <w:ind w:firstLine="420" w:firstLineChars="200"/>
        <w:rPr>
          <w:rFonts w:ascii="宋体" w:hAnsi="Times New Roman" w:cs="宋体"/>
          <w:highlight w:val="none"/>
        </w:rPr>
      </w:pPr>
      <w:r>
        <w:rPr>
          <w:rFonts w:hint="eastAsia" w:ascii="宋体" w:hAnsi="Times New Roman" w:cs="宋体"/>
          <w:highlight w:val="none"/>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highlight w:val="none"/>
        </w:rPr>
      </w:pPr>
      <w:bookmarkStart w:id="6" w:name="_Toc18091"/>
      <w:r>
        <w:rPr>
          <w:rFonts w:ascii="宋体" w:hAnsi="宋体" w:cs="宋体"/>
          <w:b/>
          <w:bCs/>
          <w:highlight w:val="none"/>
        </w:rPr>
        <w:t>二、</w:t>
      </w:r>
      <w:r>
        <w:rPr>
          <w:rFonts w:hint="eastAsia" w:ascii="宋体" w:hAnsi="宋体" w:cs="宋体"/>
          <w:b/>
          <w:bCs/>
          <w:highlight w:val="none"/>
        </w:rPr>
        <w:t>采购内容简述</w:t>
      </w:r>
      <w:bookmarkEnd w:id="6"/>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rPr>
        <w:t>1.采购内容：详见“四、</w:t>
      </w:r>
      <w:r>
        <w:rPr>
          <w:rFonts w:hint="eastAsia" w:ascii="宋体" w:hAnsi="Times New Roman" w:cs="宋体"/>
          <w:bCs/>
          <w:szCs w:val="20"/>
          <w:highlight w:val="none"/>
          <w:lang w:val="en-US" w:eastAsia="zh-CN"/>
        </w:rPr>
        <w:t>服务</w:t>
      </w:r>
      <w:r>
        <w:rPr>
          <w:rFonts w:hint="eastAsia" w:ascii="宋体" w:hAnsi="Times New Roman" w:cs="宋体"/>
          <w:bCs/>
          <w:szCs w:val="20"/>
          <w:highlight w:val="none"/>
        </w:rPr>
        <w:t>清单”；</w:t>
      </w:r>
    </w:p>
    <w:p>
      <w:pPr>
        <w:snapToGrid w:val="0"/>
        <w:spacing w:line="360" w:lineRule="auto"/>
        <w:ind w:firstLine="420" w:firstLineChars="200"/>
        <w:rPr>
          <w:rFonts w:ascii="宋体" w:hAnsi="Times New Roman" w:cs="宋体"/>
          <w:bCs/>
          <w:szCs w:val="20"/>
          <w:highlight w:val="none"/>
        </w:rPr>
      </w:pPr>
      <w:r>
        <w:rPr>
          <w:rFonts w:hint="eastAsia" w:ascii="宋体" w:hAnsi="Times New Roman" w:cs="宋体"/>
          <w:bCs/>
          <w:szCs w:val="20"/>
          <w:highlight w:val="none"/>
          <w:lang w:val="en-US" w:eastAsia="zh-CN"/>
        </w:rPr>
        <w:t>2.数量：详</w:t>
      </w:r>
      <w:r>
        <w:rPr>
          <w:rFonts w:hint="eastAsia" w:ascii="宋体" w:hAnsi="Times New Roman" w:cs="宋体"/>
          <w:bCs/>
          <w:szCs w:val="20"/>
          <w:highlight w:val="none"/>
        </w:rPr>
        <w:t>见“四、</w:t>
      </w:r>
      <w:r>
        <w:rPr>
          <w:rFonts w:hint="eastAsia" w:ascii="宋体" w:hAnsi="Times New Roman" w:cs="宋体"/>
          <w:bCs/>
          <w:szCs w:val="20"/>
          <w:highlight w:val="none"/>
          <w:lang w:val="en-US" w:eastAsia="zh-CN"/>
        </w:rPr>
        <w:t>服务</w:t>
      </w:r>
      <w:r>
        <w:rPr>
          <w:rFonts w:hint="eastAsia" w:ascii="宋体" w:hAnsi="Times New Roman" w:cs="宋体"/>
          <w:bCs/>
          <w:szCs w:val="20"/>
          <w:highlight w:val="none"/>
        </w:rPr>
        <w:t>清单”；</w:t>
      </w:r>
    </w:p>
    <w:p>
      <w:pPr>
        <w:snapToGrid w:val="0"/>
        <w:spacing w:line="360" w:lineRule="auto"/>
        <w:ind w:firstLine="420" w:firstLineChars="200"/>
        <w:rPr>
          <w:rFonts w:hint="eastAsia" w:ascii="宋体" w:hAnsi="Times New Roman" w:cs="宋体"/>
          <w:bCs/>
          <w:szCs w:val="20"/>
          <w:highlight w:val="none"/>
          <w:lang w:val="en-US" w:eastAsia="zh-CN"/>
        </w:rPr>
      </w:pPr>
      <w:r>
        <w:rPr>
          <w:rFonts w:hint="eastAsia" w:ascii="宋体" w:hAnsi="Times New Roman" w:cs="宋体"/>
          <w:bCs/>
          <w:szCs w:val="20"/>
          <w:highlight w:val="none"/>
        </w:rPr>
        <w:t>3</w:t>
      </w:r>
      <w:r>
        <w:rPr>
          <w:rFonts w:hint="eastAsia" w:ascii="宋体" w:hAnsi="Times New Roman" w:cs="宋体"/>
          <w:bCs/>
          <w:szCs w:val="20"/>
          <w:highlight w:val="none"/>
          <w:lang w:val="en-US" w:eastAsia="zh-CN"/>
        </w:rPr>
        <w:t>.服务期：自合同签订之日起，服务期限一年。</w:t>
      </w:r>
    </w:p>
    <w:p>
      <w:pPr>
        <w:snapToGrid w:val="0"/>
        <w:spacing w:line="360" w:lineRule="auto"/>
        <w:ind w:firstLine="420" w:firstLineChars="200"/>
        <w:rPr>
          <w:rFonts w:hint="eastAsia" w:ascii="宋体" w:hAnsi="Times New Roman" w:cs="宋体"/>
          <w:bCs/>
          <w:szCs w:val="20"/>
          <w:highlight w:val="none"/>
          <w:lang w:val="en-US" w:eastAsia="zh-CN"/>
        </w:rPr>
      </w:pPr>
      <w:r>
        <w:rPr>
          <w:rFonts w:hint="eastAsia" w:ascii="宋体" w:hAnsi="Times New Roman" w:cs="宋体"/>
          <w:bCs/>
          <w:szCs w:val="20"/>
          <w:highlight w:val="none"/>
          <w:lang w:val="en-US" w:eastAsia="zh-CN"/>
        </w:rPr>
        <w:t>4.预算金额：人民币 100000  元（供应商报价超过预算金额将按无效投标处理）。</w:t>
      </w:r>
    </w:p>
    <w:p>
      <w:pPr>
        <w:tabs>
          <w:tab w:val="left" w:pos="420"/>
          <w:tab w:val="left" w:pos="540"/>
          <w:tab w:val="left" w:pos="574"/>
        </w:tabs>
        <w:spacing w:line="360" w:lineRule="auto"/>
        <w:ind w:left="420"/>
        <w:outlineLvl w:val="0"/>
        <w:rPr>
          <w:rFonts w:ascii="宋体" w:hAnsi="宋体" w:cs="宋体"/>
          <w:b/>
          <w:bCs/>
          <w:highlight w:val="none"/>
        </w:rPr>
      </w:pPr>
      <w:r>
        <w:rPr>
          <w:rFonts w:ascii="宋体" w:hAnsi="宋体" w:cs="宋体"/>
          <w:b/>
          <w:bCs/>
          <w:highlight w:val="none"/>
        </w:rPr>
        <w:t>三、</w:t>
      </w:r>
      <w:r>
        <w:rPr>
          <w:rFonts w:hint="eastAsia" w:ascii="宋体" w:hAnsi="宋体" w:cs="宋体"/>
          <w:b/>
          <w:bCs/>
          <w:highlight w:val="none"/>
        </w:rPr>
        <w:t>项目概况</w:t>
      </w:r>
    </w:p>
    <w:p>
      <w:pPr>
        <w:widowControl/>
        <w:tabs>
          <w:tab w:val="left" w:pos="424"/>
        </w:tabs>
        <w:spacing w:line="360" w:lineRule="auto"/>
        <w:ind w:firstLine="420" w:firstLineChars="200"/>
        <w:jc w:val="left"/>
        <w:rPr>
          <w:rFonts w:hAnsi="宋体"/>
          <w:kern w:val="28"/>
          <w:highlight w:val="none"/>
        </w:rPr>
      </w:pPr>
      <w:r>
        <w:rPr>
          <w:rFonts w:hint="eastAsia" w:ascii="宋体" w:hAnsi="Times New Roman" w:cs="宋体"/>
          <w:highlight w:val="none"/>
        </w:rPr>
        <w:t>1.本次招标项目范围：</w:t>
      </w:r>
      <w:r>
        <w:rPr>
          <w:rFonts w:hint="eastAsia" w:cs="宋体"/>
          <w:kern w:val="28"/>
          <w:highlight w:val="none"/>
        </w:rPr>
        <w:t>广西南宁技师学院202</w:t>
      </w:r>
      <w:r>
        <w:rPr>
          <w:rFonts w:hint="eastAsia" w:cs="宋体"/>
          <w:kern w:val="28"/>
          <w:highlight w:val="none"/>
          <w:lang w:val="en-US" w:eastAsia="zh-CN"/>
        </w:rPr>
        <w:t>5</w:t>
      </w:r>
      <w:r>
        <w:rPr>
          <w:rFonts w:hint="eastAsia" w:cs="宋体"/>
          <w:kern w:val="28"/>
          <w:highlight w:val="none"/>
        </w:rPr>
        <w:t>年新校区28台电梯维保服务</w:t>
      </w:r>
      <w:r>
        <w:rPr>
          <w:rFonts w:hint="eastAsia" w:ascii="宋体" w:hAnsi="Times New Roman" w:cs="宋体"/>
          <w:bCs/>
          <w:szCs w:val="20"/>
          <w:highlight w:val="none"/>
        </w:rPr>
        <w:t>。</w:t>
      </w:r>
    </w:p>
    <w:p>
      <w:pPr>
        <w:widowControl/>
        <w:tabs>
          <w:tab w:val="left" w:pos="424"/>
        </w:tabs>
        <w:spacing w:line="360" w:lineRule="auto"/>
        <w:ind w:firstLine="210" w:firstLineChars="100"/>
        <w:jc w:val="left"/>
        <w:rPr>
          <w:rFonts w:ascii="宋体" w:hAnsi="Times New Roman" w:cs="宋体"/>
          <w:highlight w:val="none"/>
        </w:rPr>
      </w:pPr>
      <w:r>
        <w:rPr>
          <w:rFonts w:hint="eastAsia" w:ascii="宋体" w:hAnsi="Times New Roman" w:cs="宋体"/>
          <w:highlight w:val="none"/>
          <w:lang w:eastAsia="zh-CN"/>
        </w:rPr>
        <w:t>▲</w:t>
      </w:r>
      <w:r>
        <w:rPr>
          <w:rFonts w:hint="eastAsia" w:ascii="宋体" w:hAnsi="Times New Roman" w:cs="宋体"/>
          <w:highlight w:val="none"/>
        </w:rPr>
        <w:t>2.成交供应商不得以任何方式转包或分包本项目。</w:t>
      </w:r>
    </w:p>
    <w:p>
      <w:pPr>
        <w:widowControl/>
        <w:tabs>
          <w:tab w:val="left" w:pos="424"/>
        </w:tabs>
        <w:spacing w:line="360" w:lineRule="auto"/>
        <w:ind w:firstLine="210" w:firstLineChars="100"/>
        <w:jc w:val="left"/>
        <w:rPr>
          <w:rFonts w:ascii="宋体" w:hAnsi="Times New Roman" w:cs="宋体"/>
          <w:highlight w:val="none"/>
        </w:rPr>
      </w:pPr>
      <w:r>
        <w:rPr>
          <w:rFonts w:hint="eastAsia" w:ascii="宋体" w:hAnsi="Times New Roman" w:cs="宋体"/>
          <w:highlight w:val="none"/>
          <w:lang w:eastAsia="zh-CN"/>
        </w:rPr>
        <w:t>▲</w:t>
      </w:r>
      <w:r>
        <w:rPr>
          <w:rFonts w:hint="eastAsia" w:ascii="宋体" w:hAnsi="Times New Roman" w:cs="宋体"/>
          <w:highlight w:val="none"/>
        </w:rPr>
        <w:t>3.供应商所提供服务内容及技术参数等不能低于询价文件所提出的要求。</w:t>
      </w:r>
    </w:p>
    <w:p>
      <w:pPr>
        <w:widowControl/>
        <w:tabs>
          <w:tab w:val="left" w:pos="424"/>
        </w:tabs>
        <w:spacing w:line="360" w:lineRule="auto"/>
        <w:ind w:firstLine="210" w:firstLineChars="100"/>
        <w:jc w:val="left"/>
        <w:rPr>
          <w:rFonts w:ascii="宋体" w:hAnsi="Times New Roman" w:cs="宋体"/>
          <w:highlight w:val="none"/>
        </w:rPr>
      </w:pPr>
      <w:r>
        <w:rPr>
          <w:rFonts w:hint="eastAsia" w:ascii="宋体" w:hAnsi="Times New Roman" w:cs="宋体"/>
          <w:highlight w:val="none"/>
          <w:lang w:eastAsia="zh-CN"/>
        </w:rPr>
        <w:t>▲</w:t>
      </w:r>
      <w:r>
        <w:rPr>
          <w:rFonts w:hint="eastAsia" w:ascii="宋体" w:hAnsi="Times New Roman" w:cs="宋体"/>
          <w:highlight w:val="none"/>
        </w:rPr>
        <w:t>4.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422" w:firstLineChars="200"/>
        <w:outlineLvl w:val="0"/>
        <w:rPr>
          <w:rFonts w:ascii="宋体" w:hAnsi="宋体" w:cs="宋体"/>
          <w:b/>
          <w:bCs/>
          <w:highlight w:val="none"/>
        </w:rPr>
      </w:pPr>
      <w:bookmarkStart w:id="7" w:name="_Hlk70344164"/>
    </w:p>
    <w:p>
      <w:pPr>
        <w:tabs>
          <w:tab w:val="left" w:pos="420"/>
          <w:tab w:val="left" w:pos="540"/>
          <w:tab w:val="left" w:pos="574"/>
        </w:tabs>
        <w:spacing w:line="360" w:lineRule="auto"/>
        <w:ind w:firstLine="422" w:firstLineChars="200"/>
        <w:outlineLvl w:val="0"/>
        <w:rPr>
          <w:rFonts w:ascii="宋体" w:hAnsi="宋体" w:cs="宋体"/>
          <w:b/>
          <w:bCs/>
          <w:highlight w:val="none"/>
        </w:rPr>
      </w:pPr>
    </w:p>
    <w:p>
      <w:pPr>
        <w:tabs>
          <w:tab w:val="left" w:pos="420"/>
          <w:tab w:val="left" w:pos="540"/>
          <w:tab w:val="left" w:pos="574"/>
        </w:tabs>
        <w:spacing w:line="360" w:lineRule="auto"/>
        <w:ind w:firstLine="422" w:firstLineChars="200"/>
        <w:outlineLvl w:val="0"/>
        <w:rPr>
          <w:rFonts w:ascii="宋体" w:hAnsi="宋体" w:cs="宋体"/>
          <w:b/>
          <w:bCs/>
          <w:highlight w:val="none"/>
        </w:rPr>
      </w:pPr>
    </w:p>
    <w:p>
      <w:pPr>
        <w:tabs>
          <w:tab w:val="left" w:pos="420"/>
          <w:tab w:val="left" w:pos="540"/>
          <w:tab w:val="left" w:pos="574"/>
        </w:tabs>
        <w:spacing w:line="360" w:lineRule="auto"/>
        <w:ind w:firstLine="422" w:firstLineChars="200"/>
        <w:outlineLvl w:val="0"/>
        <w:rPr>
          <w:rFonts w:ascii="宋体" w:hAnsi="宋体" w:cs="宋体"/>
          <w:b/>
          <w:bCs/>
          <w:highlight w:val="none"/>
        </w:rPr>
      </w:pPr>
    </w:p>
    <w:p>
      <w:pPr>
        <w:tabs>
          <w:tab w:val="left" w:pos="420"/>
          <w:tab w:val="left" w:pos="540"/>
          <w:tab w:val="left" w:pos="574"/>
        </w:tabs>
        <w:spacing w:line="360" w:lineRule="auto"/>
        <w:ind w:firstLine="422" w:firstLineChars="200"/>
        <w:outlineLvl w:val="0"/>
        <w:rPr>
          <w:rFonts w:ascii="宋体" w:hAnsi="宋体" w:cs="宋体"/>
          <w:b/>
          <w:bCs/>
          <w:highlight w:val="none"/>
        </w:rPr>
      </w:pPr>
    </w:p>
    <w:p>
      <w:pPr>
        <w:tabs>
          <w:tab w:val="left" w:pos="420"/>
          <w:tab w:val="left" w:pos="540"/>
          <w:tab w:val="left" w:pos="574"/>
        </w:tabs>
        <w:spacing w:line="360" w:lineRule="auto"/>
        <w:ind w:firstLine="422" w:firstLineChars="200"/>
        <w:outlineLvl w:val="0"/>
        <w:rPr>
          <w:rFonts w:ascii="宋体" w:hAnsi="宋体" w:cs="宋体"/>
          <w:b/>
          <w:bCs/>
          <w:highlight w:val="none"/>
        </w:rPr>
      </w:pPr>
    </w:p>
    <w:p>
      <w:pPr>
        <w:tabs>
          <w:tab w:val="left" w:pos="420"/>
          <w:tab w:val="left" w:pos="540"/>
          <w:tab w:val="left" w:pos="574"/>
        </w:tabs>
        <w:spacing w:line="360" w:lineRule="auto"/>
        <w:ind w:firstLine="422" w:firstLineChars="200"/>
        <w:outlineLvl w:val="0"/>
        <w:rPr>
          <w:rFonts w:ascii="宋体" w:hAnsi="宋体" w:cs="宋体"/>
          <w:b/>
          <w:bCs/>
          <w:highlight w:val="none"/>
        </w:rPr>
      </w:pPr>
      <w:r>
        <w:rPr>
          <w:rFonts w:ascii="宋体" w:hAnsi="宋体" w:cs="宋体"/>
          <w:b/>
          <w:bCs/>
          <w:highlight w:val="none"/>
        </w:rPr>
        <w:t>四、</w:t>
      </w:r>
      <w:r>
        <w:rPr>
          <w:rFonts w:hint="eastAsia" w:ascii="宋体" w:hAnsi="宋体" w:cs="宋体"/>
          <w:b/>
          <w:bCs/>
          <w:highlight w:val="none"/>
        </w:rPr>
        <w:t>服务清单</w:t>
      </w:r>
    </w:p>
    <w:p>
      <w:pPr>
        <w:pStyle w:val="2"/>
        <w:ind w:firstLine="210"/>
        <w:rPr>
          <w:highlight w:val="none"/>
        </w:rPr>
      </w:pPr>
    </w:p>
    <w:bookmarkEnd w:id="7"/>
    <w:tbl>
      <w:tblPr>
        <w:tblStyle w:val="35"/>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4"/>
        <w:gridCol w:w="688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1" w:type="dxa"/>
            <w:shd w:val="clear" w:color="auto" w:fill="auto"/>
            <w:vAlign w:val="center"/>
          </w:tcPr>
          <w:p>
            <w:pPr>
              <w:widowControl/>
              <w:jc w:val="center"/>
              <w:rPr>
                <w:rFonts w:ascii="宋体" w:hAnsi="宋体" w:cs="宋体"/>
                <w:b/>
                <w:kern w:val="0"/>
                <w:highlight w:val="none"/>
              </w:rPr>
            </w:pPr>
            <w:bookmarkStart w:id="8" w:name="_Hlk70344151"/>
            <w:r>
              <w:rPr>
                <w:rFonts w:hint="eastAsia" w:ascii="宋体" w:hAnsi="宋体" w:cs="宋体"/>
                <w:b/>
                <w:kern w:val="0"/>
                <w:highlight w:val="none"/>
              </w:rPr>
              <w:t>项号</w:t>
            </w:r>
          </w:p>
        </w:tc>
        <w:tc>
          <w:tcPr>
            <w:tcW w:w="1104" w:type="dxa"/>
            <w:shd w:val="clear" w:color="auto" w:fill="auto"/>
            <w:vAlign w:val="center"/>
          </w:tcPr>
          <w:p>
            <w:pPr>
              <w:widowControl/>
              <w:jc w:val="center"/>
              <w:rPr>
                <w:rFonts w:ascii="宋体" w:hAnsi="宋体" w:cs="宋体"/>
                <w:b/>
                <w:kern w:val="0"/>
                <w:highlight w:val="none"/>
              </w:rPr>
            </w:pPr>
            <w:r>
              <w:rPr>
                <w:rFonts w:hint="eastAsia" w:ascii="宋体" w:hAnsi="宋体" w:cs="宋体"/>
                <w:b/>
                <w:kern w:val="0"/>
                <w:highlight w:val="none"/>
              </w:rPr>
              <w:t>服务名称</w:t>
            </w:r>
          </w:p>
        </w:tc>
        <w:tc>
          <w:tcPr>
            <w:tcW w:w="6887" w:type="dxa"/>
            <w:shd w:val="clear" w:color="auto" w:fill="auto"/>
            <w:vAlign w:val="center"/>
          </w:tcPr>
          <w:p>
            <w:pPr>
              <w:widowControl/>
              <w:jc w:val="center"/>
              <w:rPr>
                <w:rFonts w:ascii="宋体" w:hAnsi="宋体" w:cs="宋体"/>
                <w:b/>
                <w:kern w:val="0"/>
                <w:highlight w:val="none"/>
              </w:rPr>
            </w:pPr>
            <w:r>
              <w:rPr>
                <w:rFonts w:hint="eastAsia" w:ascii="宋体" w:hAnsi="宋体" w:cs="宋体"/>
                <w:b/>
                <w:kern w:val="0"/>
                <w:highlight w:val="none"/>
              </w:rPr>
              <w:t>服务内容及要求</w:t>
            </w:r>
          </w:p>
        </w:tc>
        <w:tc>
          <w:tcPr>
            <w:tcW w:w="870" w:type="dxa"/>
            <w:shd w:val="clear" w:color="auto" w:fill="auto"/>
            <w:vAlign w:val="center"/>
          </w:tcPr>
          <w:p>
            <w:pPr>
              <w:widowControl/>
              <w:jc w:val="center"/>
              <w:rPr>
                <w:rFonts w:ascii="宋体" w:hAnsi="宋体" w:cs="宋体"/>
                <w:b/>
                <w:kern w:val="0"/>
                <w:highlight w:val="none"/>
              </w:rPr>
            </w:pPr>
            <w:r>
              <w:rPr>
                <w:rFonts w:hint="eastAsia" w:ascii="宋体" w:hAnsi="宋体" w:cs="宋体"/>
                <w:b/>
                <w:kern w:val="0"/>
                <w:highlight w:val="none"/>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1</w:t>
            </w:r>
          </w:p>
        </w:tc>
        <w:tc>
          <w:tcPr>
            <w:tcW w:w="1104" w:type="dxa"/>
            <w:tcBorders>
              <w:top w:val="single" w:color="auto" w:sz="8" w:space="0"/>
              <w:left w:val="single" w:color="auto" w:sz="8" w:space="0"/>
              <w:bottom w:val="single" w:color="auto" w:sz="8" w:space="0"/>
              <w:right w:val="single" w:color="auto" w:sz="8" w:space="0"/>
            </w:tcBorders>
            <w:vAlign w:val="center"/>
          </w:tcPr>
          <w:p>
            <w:pPr>
              <w:widowControl/>
              <w:rPr>
                <w:rFonts w:ascii="宋体" w:hAnsi="宋体" w:cs="宋体"/>
                <w:kern w:val="0"/>
                <w:highlight w:val="none"/>
              </w:rPr>
            </w:pPr>
            <w:r>
              <w:rPr>
                <w:rFonts w:hint="eastAsia" w:ascii="宋体" w:cs="宋体"/>
                <w:kern w:val="0"/>
                <w:highlight w:val="none"/>
              </w:rPr>
              <w:t>广西南宁技师学院202</w:t>
            </w:r>
            <w:r>
              <w:rPr>
                <w:rFonts w:hint="eastAsia" w:ascii="宋体" w:cs="宋体"/>
                <w:kern w:val="0"/>
                <w:highlight w:val="none"/>
                <w:lang w:val="en-US" w:eastAsia="zh-CN"/>
              </w:rPr>
              <w:t>5</w:t>
            </w:r>
            <w:r>
              <w:rPr>
                <w:rFonts w:hint="eastAsia" w:ascii="宋体" w:cs="宋体"/>
                <w:kern w:val="0"/>
                <w:highlight w:val="none"/>
              </w:rPr>
              <w:t>年新校区28台电梯维保服务</w:t>
            </w:r>
          </w:p>
        </w:tc>
        <w:tc>
          <w:tcPr>
            <w:tcW w:w="6887"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2" w:firstLineChars="200"/>
              <w:jc w:val="left"/>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一、电梯、自动扶梯维保服务内容及技术参数</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共28台电梯，基本参数详见本章附件1。</w:t>
            </w:r>
          </w:p>
          <w:p>
            <w:pPr>
              <w:spacing w:line="400" w:lineRule="exact"/>
              <w:ind w:firstLine="422" w:firstLineChars="200"/>
              <w:jc w:val="left"/>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二、服务内容：</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eastAsiaTheme="minorEastAsia"/>
                <w:highlight w:val="none"/>
                <w:lang w:eastAsia="zh-CN"/>
              </w:rPr>
              <w:t>▲</w:t>
            </w:r>
            <w:r>
              <w:rPr>
                <w:rFonts w:hint="eastAsia" w:asciiTheme="minorEastAsia" w:hAnsiTheme="minorEastAsia" w:eastAsiaTheme="minorEastAsia" w:cstheme="minorEastAsia"/>
                <w:highlight w:val="none"/>
              </w:rPr>
              <w:t>1.确保保养梯的安全正常使用，依据电/扶梯保养周期表内容（见附件2）定期检查、调整各安全部件以及各活动部件并进行定期清理润滑。</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eastAsiaTheme="minorEastAsia"/>
                <w:highlight w:val="none"/>
                <w:lang w:eastAsia="zh-CN"/>
              </w:rPr>
              <w:t>▲</w:t>
            </w:r>
            <w:r>
              <w:rPr>
                <w:rFonts w:hint="eastAsia" w:asciiTheme="minorEastAsia" w:hAnsiTheme="minorEastAsia" w:eastAsiaTheme="minorEastAsia" w:cstheme="minorEastAsia"/>
                <w:highlight w:val="none"/>
              </w:rPr>
              <w:t>2.负责设备日常小修及24小时应急修理服务，提供24小时报修热线电话服务，对于有关电梯、扶梯及人行道运行故障应急请求，做到立即回答，在45分钟内赶到现场进行处理，一般故障1小时内修复,确保电梯安全、正常运行，电梯困人30分钟内赶到现场</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提供故障排除、故障修理服务和特殊事件驻场服务。</w:t>
            </w:r>
          </w:p>
          <w:p>
            <w:pPr>
              <w:pStyle w:val="129"/>
              <w:spacing w:line="400" w:lineRule="exact"/>
              <w:ind w:firstLine="420" w:firstLineChars="20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3.维保时间：维保工作安排在甲方白天用梯低峰期，错过上下班高峰期和夜晚休息时间。</w:t>
            </w:r>
          </w:p>
          <w:p>
            <w:pPr>
              <w:pStyle w:val="129"/>
              <w:spacing w:line="400" w:lineRule="exact"/>
              <w:ind w:firstLine="480" w:firstLineChars="200"/>
              <w:rPr>
                <w:rFonts w:asciiTheme="minorEastAsia" w:hAnsiTheme="minorEastAsia" w:eastAsiaTheme="minorEastAsia" w:cstheme="minorEastAsia"/>
                <w:sz w:val="21"/>
                <w:szCs w:val="21"/>
                <w:highlight w:val="none"/>
              </w:rPr>
            </w:pPr>
            <w:r>
              <w:rPr>
                <w:rFonts w:hint="eastAsia" w:cs="宋体" w:eastAsiaTheme="minorEastAsia"/>
                <w:highlight w:val="none"/>
                <w:lang w:eastAsia="zh-CN"/>
              </w:rPr>
              <w:t>▲</w:t>
            </w:r>
            <w:r>
              <w:rPr>
                <w:rFonts w:hint="eastAsia" w:asciiTheme="minorEastAsia" w:hAnsiTheme="minorEastAsia" w:eastAsiaTheme="minorEastAsia" w:cstheme="minorEastAsia"/>
                <w:sz w:val="21"/>
                <w:szCs w:val="21"/>
                <w:highlight w:val="none"/>
              </w:rPr>
              <w:t>4.定期报告保养设备的运行情况、零部件使用情况、易损件的更换情况，并做好详细记录。提供使用建议并解答咨询。指导甲方人员正确操作及安全使用设备。</w:t>
            </w:r>
          </w:p>
          <w:p>
            <w:pPr>
              <w:pStyle w:val="129"/>
              <w:spacing w:line="400" w:lineRule="exact"/>
              <w:ind w:firstLine="480" w:firstLineChars="200"/>
              <w:rPr>
                <w:rFonts w:asciiTheme="minorEastAsia" w:hAnsiTheme="minorEastAsia" w:eastAsiaTheme="minorEastAsia" w:cstheme="minorEastAsia"/>
                <w:sz w:val="21"/>
                <w:szCs w:val="21"/>
                <w:highlight w:val="none"/>
              </w:rPr>
            </w:pPr>
            <w:r>
              <w:rPr>
                <w:rFonts w:hint="eastAsia" w:cs="宋体" w:eastAsiaTheme="minorEastAsia"/>
                <w:highlight w:val="none"/>
                <w:lang w:eastAsia="zh-CN"/>
              </w:rPr>
              <w:t>▲</w:t>
            </w:r>
            <w:r>
              <w:rPr>
                <w:rFonts w:hint="eastAsia" w:asciiTheme="minorEastAsia" w:hAnsiTheme="minorEastAsia" w:eastAsiaTheme="minorEastAsia" w:cstheme="minorEastAsia"/>
                <w:sz w:val="21"/>
                <w:szCs w:val="21"/>
                <w:highlight w:val="none"/>
              </w:rPr>
              <w:t>5.每台电/扶梯每月保养二次。每次保养按电梯保养周期表实施。</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highlight w:val="none"/>
              </w:rPr>
              <w:t xml:space="preserve"> </w:t>
            </w:r>
            <w:r>
              <w:rPr>
                <w:rFonts w:hint="eastAsia" w:ascii="宋体" w:hAnsi="Times New Roman" w:cs="宋体"/>
                <w:highlight w:val="none"/>
                <w:lang w:eastAsia="zh-CN"/>
              </w:rPr>
              <w:t>▲</w:t>
            </w:r>
            <w:r>
              <w:rPr>
                <w:rFonts w:hint="eastAsia" w:asciiTheme="minorEastAsia" w:hAnsiTheme="minorEastAsia" w:eastAsiaTheme="minorEastAsia" w:cstheme="minorEastAsia"/>
                <w:highlight w:val="none"/>
              </w:rPr>
              <w:t>6.负责通过技术监督局的年检，保证取得电梯《合格证》。</w:t>
            </w:r>
          </w:p>
          <w:p>
            <w:pPr>
              <w:spacing w:line="400" w:lineRule="exact"/>
              <w:ind w:firstLine="422" w:firstLineChars="200"/>
              <w:jc w:val="lef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三、驻场人员及服务方案要求：</w:t>
            </w:r>
          </w:p>
          <w:p>
            <w:pPr>
              <w:pStyle w:val="2"/>
              <w:ind w:firstLine="21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宋体" w:hAnsi="Times New Roman" w:cs="宋体" w:eastAsiaTheme="minorEastAsia"/>
                <w:highlight w:val="none"/>
                <w:lang w:eastAsia="zh-CN"/>
              </w:rPr>
              <w:t>▲</w:t>
            </w:r>
            <w:r>
              <w:rPr>
                <w:rFonts w:hint="eastAsia" w:asciiTheme="minorEastAsia" w:hAnsiTheme="minorEastAsia" w:eastAsiaTheme="minorEastAsia" w:cstheme="minorEastAsia"/>
                <w:highlight w:val="none"/>
              </w:rPr>
              <w:t>1.投标人必须制定科学合理的维保方案</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投标时提供</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w:t>
            </w:r>
          </w:p>
          <w:p>
            <w:pPr>
              <w:pStyle w:val="2"/>
              <w:ind w:firstLineChars="200"/>
              <w:rPr>
                <w:rFonts w:asciiTheme="minorEastAsia" w:hAnsiTheme="minorEastAsia" w:eastAsiaTheme="minorEastAsia" w:cstheme="minorEastAsia"/>
                <w:highlight w:val="none"/>
              </w:rPr>
            </w:pPr>
            <w:r>
              <w:rPr>
                <w:rFonts w:hint="eastAsia" w:ascii="宋体" w:hAnsi="Times New Roman" w:cs="宋体" w:eastAsiaTheme="minorEastAsia"/>
                <w:highlight w:val="none"/>
                <w:lang w:eastAsia="zh-CN"/>
              </w:rPr>
              <w:t>▲</w:t>
            </w:r>
            <w:r>
              <w:rPr>
                <w:rFonts w:hint="eastAsia" w:asciiTheme="minorEastAsia" w:hAnsiTheme="minorEastAsia" w:eastAsiaTheme="minorEastAsia" w:cstheme="minorEastAsia"/>
                <w:highlight w:val="none"/>
              </w:rPr>
              <w:t>2.投标人必须制定周全合理的维保服务计划与安全保障措施方案</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投标时提供</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w:t>
            </w:r>
          </w:p>
          <w:p>
            <w:pPr>
              <w:tabs>
                <w:tab w:val="left" w:pos="5490"/>
              </w:tabs>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highlight w:val="none"/>
                <w:lang w:eastAsia="zh-CN"/>
              </w:rPr>
              <w:t>▲</w:t>
            </w:r>
            <w:r>
              <w:rPr>
                <w:rFonts w:hint="eastAsia" w:ascii="宋体" w:hAnsi="Times New Roman" w:cs="宋体"/>
                <w:highlight w:val="none"/>
                <w:lang w:val="en-US" w:eastAsia="zh-CN"/>
              </w:rPr>
              <w:t>3</w:t>
            </w:r>
            <w:r>
              <w:rPr>
                <w:rFonts w:hint="eastAsia" w:ascii="宋体" w:hAnsi="Times New Roman" w:cs="宋体"/>
                <w:highlight w:val="none"/>
              </w:rPr>
              <w:t>.</w:t>
            </w:r>
            <w:r>
              <w:rPr>
                <w:rFonts w:hint="eastAsia" w:asciiTheme="minorEastAsia" w:hAnsiTheme="minorEastAsia" w:eastAsiaTheme="minorEastAsia" w:cstheme="minorEastAsia"/>
                <w:highlight w:val="none"/>
              </w:rPr>
              <w:t>定期对电（扶）梯设备进行保养、检查和维修并填写《保养报告》作保养记录。维护保养质量符合国标（GB7588-95）标准。</w:t>
            </w:r>
          </w:p>
          <w:p>
            <w:pPr>
              <w:tabs>
                <w:tab w:val="left" w:pos="5490"/>
              </w:tabs>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highlight w:val="none"/>
                <w:lang w:eastAsia="zh-CN"/>
              </w:rPr>
              <w:t>▲</w:t>
            </w:r>
            <w:r>
              <w:rPr>
                <w:rFonts w:hint="eastAsia" w:ascii="宋体" w:hAnsi="Times New Roman" w:cs="宋体"/>
                <w:highlight w:val="none"/>
                <w:lang w:val="en-US" w:eastAsia="zh-CN"/>
              </w:rPr>
              <w:t>4</w:t>
            </w:r>
            <w:r>
              <w:rPr>
                <w:rFonts w:hint="eastAsia" w:ascii="宋体" w:hAnsi="Times New Roman" w:cs="宋体"/>
                <w:highlight w:val="none"/>
              </w:rPr>
              <w:t>.</w:t>
            </w:r>
            <w:r>
              <w:rPr>
                <w:rFonts w:hint="eastAsia" w:asciiTheme="minorEastAsia" w:hAnsiTheme="minorEastAsia" w:eastAsiaTheme="minorEastAsia" w:cstheme="minorEastAsia"/>
                <w:highlight w:val="none"/>
              </w:rPr>
              <w:t>定期对电梯设备进行安全检查、和性能测试。</w:t>
            </w:r>
          </w:p>
          <w:p>
            <w:pPr>
              <w:tabs>
                <w:tab w:val="left" w:pos="5490"/>
              </w:tabs>
              <w:spacing w:line="400" w:lineRule="exact"/>
              <w:ind w:firstLine="630" w:firstLineChars="30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.作出合理配件储备计划，以供必要之时尽快提供给甲方。</w:t>
            </w:r>
          </w:p>
          <w:p>
            <w:pPr>
              <w:tabs>
                <w:tab w:val="left" w:pos="5490"/>
              </w:tabs>
              <w:spacing w:line="400" w:lineRule="exact"/>
              <w:ind w:firstLine="420" w:firstLineChars="200"/>
              <w:jc w:val="left"/>
              <w:rPr>
                <w:highlight w:val="none"/>
              </w:rPr>
            </w:pPr>
            <w:r>
              <w:rPr>
                <w:rFonts w:hint="eastAsia" w:ascii="宋体" w:hAnsi="Times New Roman" w:cs="宋体"/>
                <w:highlight w:val="none"/>
                <w:lang w:eastAsia="zh-CN"/>
              </w:rPr>
              <w:t>▲</w:t>
            </w:r>
            <w:r>
              <w:rPr>
                <w:rFonts w:hint="eastAsia" w:ascii="宋体" w:hAnsi="Times New Roman" w:cs="宋体"/>
                <w:highlight w:val="none"/>
                <w:lang w:val="en-US" w:eastAsia="zh-CN"/>
              </w:rPr>
              <w:t>6</w:t>
            </w:r>
            <w:r>
              <w:rPr>
                <w:rFonts w:hint="eastAsia" w:asciiTheme="minorEastAsia" w:hAnsiTheme="minorEastAsia" w:eastAsiaTheme="minorEastAsia" w:cstheme="minorEastAsia"/>
                <w:highlight w:val="none"/>
              </w:rPr>
              <w:t>.</w:t>
            </w:r>
            <w:r>
              <w:rPr>
                <w:rFonts w:hint="eastAsia"/>
                <w:highlight w:val="none"/>
              </w:rPr>
              <w:t>在维修保养期间，确保所有的电梯设备符合政府部门的相关规定；如果由于政府部门的政策改变，及时做出整改。</w:t>
            </w:r>
          </w:p>
          <w:p>
            <w:pPr>
              <w:tabs>
                <w:tab w:val="left" w:pos="5490"/>
              </w:tabs>
              <w:spacing w:line="400" w:lineRule="exact"/>
              <w:ind w:firstLine="420" w:firstLineChars="200"/>
              <w:jc w:val="left"/>
              <w:rPr>
                <w:rFonts w:hint="eastAsia" w:asciiTheme="minorEastAsia" w:hAnsiTheme="minorEastAsia" w:eastAsiaTheme="minorEastAsia" w:cstheme="minorEastAsia"/>
                <w:highlight w:val="none"/>
              </w:rPr>
            </w:pPr>
            <w:r>
              <w:rPr>
                <w:rFonts w:hint="eastAsia" w:ascii="宋体" w:hAnsi="Times New Roman" w:cs="宋体"/>
                <w:highlight w:val="none"/>
                <w:lang w:eastAsia="zh-CN"/>
              </w:rPr>
              <w:t>▲</w:t>
            </w:r>
            <w:r>
              <w:rPr>
                <w:rFonts w:hint="eastAsia" w:ascii="宋体" w:hAnsi="Times New Roman" w:cs="宋体"/>
                <w:highlight w:val="none"/>
                <w:lang w:val="en-US" w:eastAsia="zh-CN"/>
              </w:rPr>
              <w:t>7</w:t>
            </w:r>
            <w:r>
              <w:rPr>
                <w:rFonts w:hint="eastAsia" w:asciiTheme="minorEastAsia" w:hAnsiTheme="minorEastAsia" w:eastAsiaTheme="minorEastAsia" w:cstheme="minorEastAsia"/>
                <w:highlight w:val="none"/>
              </w:rPr>
              <w:t>.保持设备处于安全标准及其性能标准，并处于最佳的运行状态。</w:t>
            </w:r>
          </w:p>
          <w:p>
            <w:pPr>
              <w:pStyle w:val="2"/>
              <w:ind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▲8.驻场维保人员要求：至少一名驻场技术负责人（工程师及以上并提供职称证书及投标单位近半年内连续3个月为该员工缴纳社保的证明材料复印件）。</w:t>
            </w:r>
          </w:p>
          <w:p>
            <w:pPr>
              <w:spacing w:line="400" w:lineRule="exact"/>
              <w:ind w:firstLine="422" w:firstLineChars="200"/>
              <w:jc w:val="left"/>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四、服务承诺：</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eastAsiaTheme="minorEastAsia"/>
                <w:highlight w:val="none"/>
                <w:lang w:eastAsia="zh-CN"/>
              </w:rPr>
              <w:t>▲</w:t>
            </w:r>
            <w:r>
              <w:rPr>
                <w:rFonts w:hint="eastAsia" w:ascii="宋体" w:hAnsi="Times New Roman" w:cs="宋体" w:eastAsiaTheme="minorEastAsia"/>
                <w:highlight w:val="none"/>
                <w:lang w:val="en-US" w:eastAsia="zh-CN"/>
              </w:rPr>
              <w:t>1.</w:t>
            </w:r>
            <w:r>
              <w:rPr>
                <w:rFonts w:hint="eastAsia" w:asciiTheme="minorEastAsia" w:hAnsiTheme="minorEastAsia" w:eastAsiaTheme="minorEastAsia" w:cstheme="minorEastAsia"/>
                <w:highlight w:val="none"/>
              </w:rPr>
              <w:t>在正常的维修保养期间,维修保养人员对每台电梯将实行每月不少于二次的主动预防性维修保养以减少或杜绝电梯故障的发生。任何元器件损坏,在保修期内甲方书面确认后执行更换, 配件费用另计。</w:t>
            </w:r>
          </w:p>
          <w:p>
            <w:pPr>
              <w:spacing w:line="400" w:lineRule="exact"/>
              <w:ind w:firstLine="420" w:firstLineChars="200"/>
              <w:jc w:val="left"/>
              <w:rPr>
                <w:rFonts w:asciiTheme="minorEastAsia" w:hAnsiTheme="minorEastAsia" w:eastAsiaTheme="minorEastAsia" w:cstheme="minorEastAsia"/>
                <w:highlight w:val="none"/>
              </w:rPr>
            </w:pPr>
            <w:r>
              <w:rPr>
                <w:rFonts w:hint="eastAsia" w:ascii="宋体" w:hAnsi="Times New Roman" w:cs="宋体" w:eastAsiaTheme="minorEastAsia"/>
                <w:highlight w:val="none"/>
                <w:lang w:eastAsia="zh-CN"/>
              </w:rPr>
              <w:t>▲</w:t>
            </w:r>
            <w:r>
              <w:rPr>
                <w:rFonts w:hint="eastAsia" w:ascii="宋体" w:hAnsi="Times New Roman" w:cs="宋体" w:eastAsiaTheme="minorEastAsia"/>
                <w:highlight w:val="none"/>
                <w:lang w:val="en-US" w:eastAsia="zh-CN"/>
              </w:rPr>
              <w:t>2</w:t>
            </w:r>
            <w:r>
              <w:rPr>
                <w:rFonts w:hint="eastAsia" w:asciiTheme="minorEastAsia" w:hAnsiTheme="minorEastAsia" w:eastAsiaTheme="minorEastAsia" w:cstheme="minorEastAsia"/>
                <w:highlight w:val="none"/>
              </w:rPr>
              <w:t xml:space="preserve">.上述全部的售后服务工作,将直接接受用户的监督与考核。每台电梯均设专门的维修档案,由用户与服务机构共同分别保管。 </w:t>
            </w:r>
          </w:p>
          <w:p>
            <w:pPr>
              <w:pStyle w:val="2"/>
              <w:ind w:firstLine="210"/>
              <w:rPr>
                <w:highlight w:val="none"/>
              </w:rPr>
            </w:pPr>
          </w:p>
        </w:tc>
        <w:tc>
          <w:tcPr>
            <w:tcW w:w="870" w:type="dxa"/>
            <w:shd w:val="clear" w:color="auto" w:fill="auto"/>
            <w:vAlign w:val="center"/>
          </w:tcPr>
          <w:p>
            <w:pPr>
              <w:widowControl/>
              <w:jc w:val="center"/>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0</w:t>
            </w:r>
            <w:r>
              <w:rPr>
                <w:rFonts w:hint="eastAsia" w:ascii="宋体" w:hAnsi="宋体" w:cs="宋体"/>
                <w:kern w:val="0"/>
                <w:highlight w:val="none"/>
              </w:rPr>
              <w:t>0000</w:t>
            </w:r>
          </w:p>
        </w:tc>
      </w:tr>
      <w:bookmarkEnd w:id="8"/>
    </w:tbl>
    <w:p>
      <w:pPr>
        <w:tabs>
          <w:tab w:val="left" w:pos="420"/>
          <w:tab w:val="left" w:pos="540"/>
          <w:tab w:val="left" w:pos="574"/>
        </w:tabs>
        <w:spacing w:line="360" w:lineRule="auto"/>
        <w:ind w:firstLine="211" w:firstLineChars="100"/>
        <w:outlineLvl w:val="0"/>
        <w:rPr>
          <w:rFonts w:ascii="宋体" w:hAnsi="宋体" w:cs="宋体"/>
          <w:b/>
          <w:bCs/>
          <w:highlight w:val="none"/>
        </w:rPr>
      </w:pPr>
    </w:p>
    <w:p>
      <w:pPr>
        <w:tabs>
          <w:tab w:val="left" w:pos="420"/>
          <w:tab w:val="left" w:pos="540"/>
          <w:tab w:val="left" w:pos="574"/>
        </w:tabs>
        <w:spacing w:line="360" w:lineRule="auto"/>
        <w:ind w:firstLine="211" w:firstLineChars="100"/>
        <w:outlineLvl w:val="0"/>
        <w:rPr>
          <w:rFonts w:ascii="宋体" w:hAnsi="宋体" w:cs="宋体"/>
          <w:b/>
          <w:bCs/>
          <w:highlight w:val="none"/>
        </w:rPr>
      </w:pPr>
      <w:r>
        <w:rPr>
          <w:rFonts w:ascii="宋体" w:hAnsi="宋体" w:cs="宋体"/>
          <w:b/>
          <w:bCs/>
          <w:highlight w:val="none"/>
        </w:rPr>
        <w:t>五、</w:t>
      </w:r>
      <w:r>
        <w:rPr>
          <w:rFonts w:hint="eastAsia" w:ascii="宋体" w:hAnsi="宋体" w:cs="宋体"/>
          <w:b/>
          <w:bCs/>
          <w:highlight w:val="none"/>
        </w:rPr>
        <w:t>商务要求</w:t>
      </w:r>
    </w:p>
    <w:p>
      <w:pPr>
        <w:spacing w:line="500" w:lineRule="exact"/>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（一）合同签订期：自中标通知书发出之日起</w:t>
      </w:r>
      <w:r>
        <w:rPr>
          <w:rFonts w:hint="eastAsia" w:ascii="宋体" w:hAnsi="宋体" w:cs="宋体"/>
          <w:sz w:val="24"/>
          <w:highlight w:val="none"/>
          <w:u w:val="single"/>
        </w:rPr>
        <w:t xml:space="preserve"> 7</w:t>
      </w:r>
      <w:r>
        <w:rPr>
          <w:rFonts w:hint="eastAsia" w:ascii="宋体" w:hAnsi="宋体" w:cs="宋体"/>
          <w:sz w:val="24"/>
          <w:highlight w:val="none"/>
        </w:rPr>
        <w:t>个工作日内。</w:t>
      </w:r>
    </w:p>
    <w:p>
      <w:pPr>
        <w:spacing w:line="500" w:lineRule="exact"/>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（二）提交服务成果时间：自合同签订之日起，服务期限一年。</w:t>
      </w:r>
    </w:p>
    <w:p>
      <w:pPr>
        <w:spacing w:line="500" w:lineRule="exact"/>
        <w:jc w:val="left"/>
        <w:rPr>
          <w:rFonts w:ascii="宋体" w:hAnsi="宋体"/>
          <w:sz w:val="24"/>
          <w:highlight w:val="none"/>
        </w:rPr>
      </w:pPr>
      <w:r>
        <w:rPr>
          <w:rFonts w:hint="eastAsia" w:ascii="宋体" w:hAnsi="宋体" w:cs="宋体"/>
          <w:sz w:val="24"/>
          <w:highlight w:val="none"/>
        </w:rPr>
        <w:t>（三）</w:t>
      </w:r>
      <w:r>
        <w:rPr>
          <w:rFonts w:hint="eastAsia" w:ascii="宋体" w:hAnsi="宋体"/>
          <w:sz w:val="24"/>
          <w:highlight w:val="none"/>
        </w:rPr>
        <w:t>提交服务成果地点：南宁市采购人指定地点。</w:t>
      </w:r>
    </w:p>
    <w:p>
      <w:pPr>
        <w:spacing w:line="500" w:lineRule="exact"/>
        <w:jc w:val="left"/>
        <w:rPr>
          <w:rFonts w:ascii="宋体" w:hAnsi="宋体" w:cs="宋体"/>
          <w:sz w:val="24"/>
          <w:highlight w:val="none"/>
        </w:rPr>
      </w:pPr>
      <w:r>
        <w:rPr>
          <w:rFonts w:hint="eastAsia" w:ascii="宋体" w:hAnsi="宋体" w:cs="宋体"/>
          <w:sz w:val="24"/>
          <w:highlight w:val="none"/>
        </w:rPr>
        <w:t>（四）售后服务要求：</w:t>
      </w:r>
    </w:p>
    <w:p>
      <w:pPr>
        <w:spacing w:line="500" w:lineRule="exact"/>
        <w:jc w:val="left"/>
        <w:rPr>
          <w:rFonts w:ascii="宋体" w:hAnsi="宋体" w:cs="宋体"/>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rPr>
        <w:t>1.质量保证期</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壹</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kern w:val="0"/>
          <w:sz w:val="24"/>
          <w:highlight w:val="none"/>
        </w:rPr>
        <w:t>（自交货并验收合格之日起计，货物</w:t>
      </w:r>
      <w:r>
        <w:rPr>
          <w:rFonts w:ascii="宋体" w:hAnsi="宋体" w:cs="宋体"/>
          <w:kern w:val="0"/>
          <w:sz w:val="24"/>
          <w:highlight w:val="none"/>
        </w:rPr>
        <w:t>一览表中</w:t>
      </w:r>
      <w:r>
        <w:rPr>
          <w:rFonts w:hint="eastAsia" w:ascii="宋体" w:hAnsi="宋体" w:cs="宋体"/>
          <w:kern w:val="0"/>
          <w:sz w:val="24"/>
          <w:highlight w:val="none"/>
        </w:rPr>
        <w:t>如</w:t>
      </w:r>
      <w:r>
        <w:rPr>
          <w:rFonts w:ascii="宋体" w:hAnsi="宋体" w:cs="宋体"/>
          <w:kern w:val="0"/>
          <w:sz w:val="24"/>
          <w:highlight w:val="none"/>
        </w:rPr>
        <w:t>有</w:t>
      </w:r>
      <w:r>
        <w:rPr>
          <w:rFonts w:hint="eastAsia" w:ascii="宋体" w:hAnsi="宋体" w:cs="宋体"/>
          <w:kern w:val="0"/>
          <w:sz w:val="24"/>
          <w:highlight w:val="none"/>
        </w:rPr>
        <w:t>列</w:t>
      </w:r>
      <w:r>
        <w:rPr>
          <w:rFonts w:ascii="宋体" w:hAnsi="宋体" w:cs="宋体"/>
          <w:kern w:val="0"/>
          <w:sz w:val="24"/>
          <w:highlight w:val="none"/>
        </w:rPr>
        <w:t>出</w:t>
      </w:r>
      <w:r>
        <w:rPr>
          <w:rFonts w:hint="eastAsia" w:ascii="宋体" w:hAnsi="宋体" w:cs="宋体"/>
          <w:kern w:val="0"/>
          <w:sz w:val="24"/>
          <w:highlight w:val="none"/>
        </w:rPr>
        <w:t>则按表</w:t>
      </w:r>
      <w:r>
        <w:rPr>
          <w:rFonts w:ascii="宋体" w:hAnsi="宋体" w:cs="宋体"/>
          <w:kern w:val="0"/>
          <w:sz w:val="24"/>
          <w:highlight w:val="none"/>
        </w:rPr>
        <w:t>中</w:t>
      </w:r>
      <w:r>
        <w:rPr>
          <w:rFonts w:hint="eastAsia" w:ascii="宋体" w:hAnsi="宋体" w:cs="宋体"/>
          <w:kern w:val="0"/>
          <w:sz w:val="24"/>
          <w:highlight w:val="none"/>
        </w:rPr>
        <w:t>的</w:t>
      </w:r>
      <w:r>
        <w:rPr>
          <w:rFonts w:ascii="宋体" w:hAnsi="宋体" w:cs="宋体"/>
          <w:kern w:val="0"/>
          <w:sz w:val="24"/>
          <w:highlight w:val="none"/>
        </w:rPr>
        <w:t>要</w:t>
      </w:r>
      <w:r>
        <w:rPr>
          <w:rFonts w:hint="eastAsia" w:ascii="宋体" w:hAnsi="宋体" w:cs="宋体"/>
          <w:kern w:val="0"/>
          <w:sz w:val="24"/>
          <w:highlight w:val="none"/>
        </w:rPr>
        <w:t>求实施）。</w:t>
      </w:r>
    </w:p>
    <w:p>
      <w:pPr>
        <w:pStyle w:val="2"/>
        <w:ind w:firstLine="0" w:firstLineChars="0"/>
        <w:rPr>
          <w:highlight w:val="none"/>
        </w:rPr>
      </w:pPr>
      <w:r>
        <w:rPr>
          <w:rFonts w:hint="eastAsia" w:ascii="宋体" w:hAnsi="宋体" w:cs="宋体"/>
          <w:sz w:val="24"/>
          <w:highlight w:val="none"/>
          <w:lang w:eastAsia="zh-CN"/>
        </w:rPr>
        <w:t>▲</w:t>
      </w:r>
      <w:r>
        <w:rPr>
          <w:rFonts w:hint="eastAsia" w:ascii="宋体" w:hAnsi="宋体" w:cs="宋体"/>
          <w:sz w:val="24"/>
          <w:szCs w:val="24"/>
          <w:highlight w:val="none"/>
        </w:rPr>
        <w:t>2.提供必要的安全保障措施方案。</w:t>
      </w:r>
    </w:p>
    <w:p>
      <w:pPr>
        <w:spacing w:line="500" w:lineRule="exact"/>
        <w:jc w:val="left"/>
        <w:rPr>
          <w:rFonts w:ascii="宋体" w:hAnsi="宋体" w:cs="宋体"/>
          <w:sz w:val="24"/>
          <w:highlight w:val="none"/>
        </w:rPr>
      </w:pPr>
      <w:r>
        <w:rPr>
          <w:rFonts w:hint="eastAsia" w:ascii="宋体" w:hAnsi="宋体" w:cs="宋体"/>
          <w:sz w:val="24"/>
          <w:highlight w:val="none"/>
        </w:rPr>
        <w:t>3.故障响应时间：中标供应商应接到故障通知后在</w:t>
      </w:r>
      <w:r>
        <w:rPr>
          <w:rFonts w:hint="eastAsia" w:ascii="宋体" w:hAnsi="宋体" w:cs="宋体"/>
          <w:sz w:val="24"/>
          <w:highlight w:val="none"/>
          <w:u w:val="single"/>
        </w:rPr>
        <w:t xml:space="preserve"> 45 </w:t>
      </w:r>
      <w:r>
        <w:rPr>
          <w:rFonts w:hint="eastAsia" w:ascii="宋体" w:hAnsi="宋体" w:cs="宋体"/>
          <w:sz w:val="24"/>
          <w:highlight w:val="none"/>
        </w:rPr>
        <w:t>分钟内到采购人指定现场，按国家及行业标准对故障进行及时处理。</w:t>
      </w:r>
    </w:p>
    <w:p>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（五）其他要求：</w:t>
      </w:r>
    </w:p>
    <w:p>
      <w:pPr>
        <w:widowControl/>
        <w:spacing w:line="500" w:lineRule="exact"/>
        <w:jc w:val="left"/>
        <w:rPr>
          <w:rFonts w:ascii="宋体" w:hAnsi="宋体" w:cs="宋体"/>
          <w:kern w:val="0"/>
          <w:sz w:val="24"/>
          <w:highlight w:val="none"/>
        </w:rPr>
      </w:pPr>
      <w:r>
        <w:rPr>
          <w:rFonts w:hint="eastAsia" w:ascii="宋体" w:hAnsi="宋体" w:cs="宋体"/>
          <w:b/>
          <w:bCs/>
          <w:kern w:val="0"/>
          <w:sz w:val="24"/>
          <w:highlight w:val="none"/>
          <w:lang w:eastAsia="zh-CN"/>
        </w:rPr>
        <w:t>▲</w:t>
      </w:r>
      <w:r>
        <w:rPr>
          <w:rFonts w:hint="eastAsia" w:ascii="宋体" w:hAnsi="宋体" w:cs="宋体"/>
          <w:kern w:val="0"/>
          <w:sz w:val="24"/>
          <w:highlight w:val="none"/>
        </w:rPr>
        <w:t>1</w:t>
      </w:r>
      <w:r>
        <w:rPr>
          <w:rFonts w:hint="eastAsia" w:ascii="宋体" w:hAnsi="宋体" w:cs="宋体"/>
          <w:sz w:val="24"/>
          <w:highlight w:val="none"/>
        </w:rPr>
        <w:t>.</w:t>
      </w:r>
      <w:r>
        <w:rPr>
          <w:rFonts w:hint="eastAsia" w:ascii="宋体" w:hAnsi="宋体" w:cs="宋体"/>
          <w:kern w:val="0"/>
          <w:sz w:val="24"/>
          <w:highlight w:val="none"/>
        </w:rPr>
        <w:t>投标报价必须含以下部分，包括：</w:t>
      </w:r>
    </w:p>
    <w:p>
      <w:pPr>
        <w:widowControl/>
        <w:spacing w:before="100" w:beforeAutospacing="1" w:after="100" w:afterAutospacing="1" w:line="320" w:lineRule="exact"/>
        <w:jc w:val="left"/>
        <w:rPr>
          <w:rFonts w:ascii="宋体" w:hAnsi="宋体"/>
          <w:sz w:val="24"/>
          <w:highlight w:val="none"/>
        </w:rPr>
      </w:pPr>
      <w:r>
        <w:rPr>
          <w:rFonts w:hint="eastAsia" w:ascii="宋体" w:hAnsi="宋体"/>
          <w:sz w:val="24"/>
          <w:highlight w:val="none"/>
        </w:rPr>
        <w:t>（1）服务的价格；</w:t>
      </w:r>
    </w:p>
    <w:p>
      <w:pPr>
        <w:widowControl/>
        <w:spacing w:before="100" w:beforeAutospacing="1" w:after="100" w:afterAutospacing="1" w:line="320" w:lineRule="exact"/>
        <w:jc w:val="left"/>
        <w:rPr>
          <w:rFonts w:ascii="宋体" w:hAnsi="宋体"/>
          <w:sz w:val="24"/>
          <w:highlight w:val="none"/>
        </w:rPr>
      </w:pPr>
      <w:r>
        <w:rPr>
          <w:rFonts w:hint="eastAsia" w:ascii="宋体" w:hAnsi="宋体"/>
          <w:sz w:val="24"/>
          <w:highlight w:val="none"/>
        </w:rPr>
        <w:t>（2）必要的保险费用和各项税金；</w:t>
      </w:r>
    </w:p>
    <w:p>
      <w:pPr>
        <w:widowControl/>
        <w:spacing w:before="100" w:beforeAutospacing="1" w:after="100" w:afterAutospacing="1" w:line="320" w:lineRule="exact"/>
        <w:jc w:val="left"/>
        <w:rPr>
          <w:rFonts w:ascii="宋体" w:hAnsi="宋体"/>
          <w:sz w:val="24"/>
          <w:highlight w:val="none"/>
        </w:rPr>
      </w:pPr>
      <w:r>
        <w:rPr>
          <w:rFonts w:hint="eastAsia" w:ascii="宋体" w:hAnsi="宋体"/>
          <w:sz w:val="24"/>
          <w:highlight w:val="none"/>
        </w:rPr>
        <w:t>（3）运输、装卸、更换、调试、培训、技术支持、售后服务、更新升级、值班人员办公场所租赁等费用。</w:t>
      </w:r>
    </w:p>
    <w:p>
      <w:pPr>
        <w:pStyle w:val="2"/>
        <w:ind w:firstLine="240"/>
        <w:rPr>
          <w:sz w:val="24"/>
          <w:highlight w:val="none"/>
        </w:rPr>
      </w:pPr>
      <w:r>
        <w:rPr>
          <w:rFonts w:hint="eastAsia" w:ascii="宋体" w:hAnsi="宋体" w:cs="宋体"/>
          <w:sz w:val="24"/>
          <w:highlight w:val="none"/>
          <w:lang w:eastAsia="zh-CN"/>
        </w:rPr>
        <w:t>▲</w:t>
      </w:r>
      <w:r>
        <w:rPr>
          <w:rFonts w:hint="eastAsia" w:ascii="宋体" w:hAnsi="宋体" w:cs="宋体"/>
          <w:sz w:val="24"/>
          <w:highlight w:val="none"/>
        </w:rPr>
        <w:t>2.付款方式：</w:t>
      </w:r>
      <w:r>
        <w:rPr>
          <w:rFonts w:hint="eastAsia"/>
          <w:sz w:val="24"/>
          <w:highlight w:val="none"/>
        </w:rPr>
        <w:t xml:space="preserve"> </w:t>
      </w:r>
    </w:p>
    <w:p>
      <w:pPr>
        <w:pStyle w:val="2"/>
        <w:ind w:firstLine="240"/>
        <w:rPr>
          <w:sz w:val="24"/>
          <w:highlight w:val="none"/>
        </w:rPr>
      </w:pPr>
      <w:r>
        <w:rPr>
          <w:rFonts w:hint="eastAsia"/>
          <w:sz w:val="24"/>
          <w:highlight w:val="none"/>
        </w:rPr>
        <w:t>合同维修维护费用分二期支付：</w:t>
      </w:r>
    </w:p>
    <w:p>
      <w:pPr>
        <w:pStyle w:val="2"/>
        <w:ind w:firstLine="240"/>
        <w:rPr>
          <w:sz w:val="24"/>
          <w:highlight w:val="none"/>
        </w:rPr>
      </w:pPr>
      <w:r>
        <w:rPr>
          <w:rFonts w:hint="eastAsia"/>
          <w:sz w:val="24"/>
          <w:highlight w:val="none"/>
        </w:rPr>
        <w:t xml:space="preserve">  第一期：合同签订后15个工作日内，甲方收到乙方有效发票后申请用款计划，待财政用款批复后，10个工作日内经银行转账向乙方支付合同款的50%；</w:t>
      </w:r>
    </w:p>
    <w:p>
      <w:pPr>
        <w:pStyle w:val="2"/>
        <w:ind w:firstLine="240"/>
        <w:rPr>
          <w:sz w:val="24"/>
          <w:highlight w:val="none"/>
        </w:rPr>
      </w:pPr>
      <w:r>
        <w:rPr>
          <w:rFonts w:hint="eastAsia"/>
          <w:sz w:val="24"/>
          <w:highlight w:val="none"/>
        </w:rPr>
        <w:t xml:space="preserve">  第二期：合同签订后第十二个月份内，甲方收到乙方有效发票后申请用款计划，待财政用款批复后，10个工作日内经银行转账向乙方支付合同款的50%；</w:t>
      </w:r>
    </w:p>
    <w:p>
      <w:pPr>
        <w:spacing w:line="500" w:lineRule="exact"/>
        <w:jc w:val="left"/>
        <w:rPr>
          <w:rFonts w:ascii="宋体" w:hAnsi="宋体" w:cs="宋体"/>
          <w:sz w:val="24"/>
          <w:highlight w:val="none"/>
        </w:rPr>
      </w:pPr>
    </w:p>
    <w:p>
      <w:pPr>
        <w:spacing w:line="500" w:lineRule="exact"/>
        <w:ind w:firstLine="480" w:firstLineChars="200"/>
        <w:jc w:val="left"/>
        <w:rPr>
          <w:sz w:val="30"/>
          <w:szCs w:val="30"/>
          <w:highlight w:val="none"/>
        </w:rPr>
      </w:pPr>
      <w:r>
        <w:rPr>
          <w:rFonts w:hint="eastAsia" w:ascii="宋体" w:hAnsi="宋体" w:cs="宋体"/>
          <w:bCs/>
          <w:kern w:val="0"/>
          <w:sz w:val="24"/>
          <w:highlight w:val="none"/>
        </w:rPr>
        <w:t>中标人需向采购人提交有采购人签字的《月度、季度、半年、年度保养项目内容及要求情况表》（本章附件2），经采购人相关人员验证签字后，采购人支付本期的保养费。</w:t>
      </w:r>
    </w:p>
    <w:p>
      <w:pPr>
        <w:rPr>
          <w:sz w:val="30"/>
          <w:szCs w:val="30"/>
          <w:highlight w:val="none"/>
        </w:rPr>
      </w:pPr>
      <w:r>
        <w:rPr>
          <w:sz w:val="30"/>
          <w:szCs w:val="30"/>
          <w:highlight w:val="none"/>
        </w:rPr>
        <w:t>附件</w:t>
      </w:r>
      <w:r>
        <w:rPr>
          <w:rFonts w:hint="eastAsia"/>
          <w:sz w:val="30"/>
          <w:szCs w:val="30"/>
          <w:highlight w:val="none"/>
        </w:rPr>
        <w:t>1：</w:t>
      </w:r>
    </w:p>
    <w:p>
      <w:pPr>
        <w:ind w:firstLine="3600" w:firstLineChars="1200"/>
        <w:rPr>
          <w:rFonts w:asciiTheme="minorHAnsi" w:hAnsiTheme="minorHAnsi" w:eastAsiaTheme="minorEastAsia" w:cstheme="minorBidi"/>
          <w:sz w:val="30"/>
          <w:szCs w:val="30"/>
          <w:highlight w:val="none"/>
        </w:rPr>
      </w:pPr>
      <w:r>
        <w:rPr>
          <w:rFonts w:hint="eastAsia"/>
          <w:sz w:val="30"/>
          <w:szCs w:val="30"/>
          <w:highlight w:val="none"/>
        </w:rPr>
        <w:t>电梯基本参数表</w:t>
      </w:r>
    </w:p>
    <w:tbl>
      <w:tblPr>
        <w:tblStyle w:val="35"/>
        <w:tblW w:w="8271"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560"/>
        <w:gridCol w:w="1385"/>
        <w:gridCol w:w="1276"/>
        <w:gridCol w:w="116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pPr>
              <w:jc w:val="center"/>
              <w:rPr>
                <w:color w:val="000000"/>
                <w:highlight w:val="none"/>
              </w:rPr>
            </w:pPr>
            <w:r>
              <w:rPr>
                <w:rFonts w:hAnsi="宋体"/>
                <w:color w:val="000000"/>
                <w:highlight w:val="none"/>
              </w:rPr>
              <w:t>梯号</w:t>
            </w:r>
          </w:p>
        </w:tc>
        <w:tc>
          <w:tcPr>
            <w:tcW w:w="1560" w:type="dxa"/>
            <w:vAlign w:val="center"/>
          </w:tcPr>
          <w:p>
            <w:pPr>
              <w:jc w:val="center"/>
              <w:rPr>
                <w:color w:val="000000"/>
                <w:highlight w:val="none"/>
              </w:rPr>
            </w:pPr>
            <w:r>
              <w:rPr>
                <w:rFonts w:hAnsi="宋体"/>
                <w:color w:val="000000"/>
                <w:highlight w:val="none"/>
              </w:rPr>
              <w:t>品牌</w:t>
            </w:r>
          </w:p>
        </w:tc>
        <w:tc>
          <w:tcPr>
            <w:tcW w:w="1385" w:type="dxa"/>
            <w:vAlign w:val="center"/>
          </w:tcPr>
          <w:p>
            <w:pPr>
              <w:jc w:val="center"/>
              <w:rPr>
                <w:color w:val="000000"/>
                <w:highlight w:val="none"/>
              </w:rPr>
            </w:pPr>
            <w:r>
              <w:rPr>
                <w:rFonts w:hAnsi="宋体"/>
                <w:color w:val="000000"/>
                <w:highlight w:val="none"/>
              </w:rPr>
              <w:t>层</w:t>
            </w:r>
            <w:r>
              <w:rPr>
                <w:color w:val="000000"/>
                <w:highlight w:val="none"/>
              </w:rPr>
              <w:t>/</w:t>
            </w:r>
            <w:r>
              <w:rPr>
                <w:rFonts w:hAnsi="宋体"/>
                <w:color w:val="000000"/>
                <w:highlight w:val="none"/>
              </w:rPr>
              <w:t>站</w:t>
            </w:r>
            <w:r>
              <w:rPr>
                <w:color w:val="000000"/>
                <w:highlight w:val="none"/>
              </w:rPr>
              <w:t>/</w:t>
            </w:r>
            <w:r>
              <w:rPr>
                <w:rFonts w:hAnsi="宋体"/>
                <w:color w:val="000000"/>
                <w:highlight w:val="none"/>
              </w:rPr>
              <w:t>门</w:t>
            </w:r>
          </w:p>
        </w:tc>
        <w:tc>
          <w:tcPr>
            <w:tcW w:w="1276" w:type="dxa"/>
          </w:tcPr>
          <w:p>
            <w:pPr>
              <w:jc w:val="center"/>
              <w:rPr>
                <w:color w:val="000000"/>
                <w:highlight w:val="none"/>
              </w:rPr>
            </w:pPr>
            <w:r>
              <w:rPr>
                <w:rFonts w:hAnsi="宋体"/>
                <w:color w:val="000000"/>
                <w:highlight w:val="none"/>
              </w:rPr>
              <w:t>速度</w:t>
            </w:r>
          </w:p>
        </w:tc>
        <w:tc>
          <w:tcPr>
            <w:tcW w:w="1166" w:type="dxa"/>
          </w:tcPr>
          <w:p>
            <w:pPr>
              <w:jc w:val="center"/>
              <w:rPr>
                <w:color w:val="000000"/>
                <w:highlight w:val="none"/>
              </w:rPr>
            </w:pPr>
            <w:r>
              <w:rPr>
                <w:rFonts w:hAnsi="宋体"/>
                <w:color w:val="000000"/>
                <w:highlight w:val="none"/>
              </w:rPr>
              <w:t>载重量</w:t>
            </w:r>
          </w:p>
        </w:tc>
        <w:tc>
          <w:tcPr>
            <w:tcW w:w="992" w:type="dxa"/>
            <w:vAlign w:val="center"/>
          </w:tcPr>
          <w:p>
            <w:pPr>
              <w:jc w:val="center"/>
              <w:rPr>
                <w:b/>
                <w:color w:val="000000"/>
                <w:highlight w:val="none"/>
              </w:rPr>
            </w:pPr>
            <w:r>
              <w:rPr>
                <w:rFonts w:hAnsi="宋体"/>
                <w:b/>
                <w:color w:val="000000"/>
                <w:highlight w:val="none"/>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教工管理用房</w:t>
            </w:r>
            <w:r>
              <w:rPr>
                <w:color w:val="000000"/>
                <w:highlight w:val="none"/>
              </w:rPr>
              <w:t>L1</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11/11/11</w:t>
            </w:r>
          </w:p>
        </w:tc>
        <w:tc>
          <w:tcPr>
            <w:tcW w:w="1276" w:type="dxa"/>
          </w:tcPr>
          <w:p>
            <w:pPr>
              <w:spacing w:before="120"/>
              <w:jc w:val="center"/>
              <w:rPr>
                <w:color w:val="000000"/>
                <w:highlight w:val="none"/>
              </w:rPr>
            </w:pPr>
            <w:r>
              <w:rPr>
                <w:color w:val="000000"/>
                <w:highlight w:val="none"/>
              </w:rPr>
              <w:t>1.75m∕s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教工管理用房</w:t>
            </w:r>
            <w:r>
              <w:rPr>
                <w:color w:val="000000"/>
                <w:highlight w:val="none"/>
              </w:rPr>
              <w:t>L2</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11/11/11</w:t>
            </w:r>
          </w:p>
        </w:tc>
        <w:tc>
          <w:tcPr>
            <w:tcW w:w="1276" w:type="dxa"/>
          </w:tcPr>
          <w:p>
            <w:pPr>
              <w:spacing w:before="120"/>
              <w:jc w:val="center"/>
              <w:rPr>
                <w:color w:val="000000"/>
                <w:highlight w:val="none"/>
              </w:rPr>
            </w:pPr>
            <w:r>
              <w:rPr>
                <w:color w:val="000000"/>
                <w:highlight w:val="none"/>
              </w:rPr>
              <w:t>1.75m∕s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综合楼</w:t>
            </w:r>
            <w:r>
              <w:rPr>
                <w:color w:val="000000"/>
                <w:highlight w:val="none"/>
              </w:rPr>
              <w:t>L1</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17/17/17</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综合楼</w:t>
            </w:r>
            <w:r>
              <w:rPr>
                <w:color w:val="000000"/>
                <w:highlight w:val="none"/>
              </w:rPr>
              <w:t>L2</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17/17/17</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综合楼</w:t>
            </w:r>
            <w:r>
              <w:rPr>
                <w:color w:val="000000"/>
                <w:highlight w:val="none"/>
              </w:rPr>
              <w:t>L3</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17/17/17</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综合楼</w:t>
            </w:r>
            <w:r>
              <w:rPr>
                <w:color w:val="000000"/>
                <w:highlight w:val="none"/>
              </w:rPr>
              <w:t>L4</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18/18/18</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综合楼</w:t>
            </w:r>
            <w:r>
              <w:rPr>
                <w:color w:val="000000"/>
                <w:highlight w:val="none"/>
              </w:rPr>
              <w:t>L5</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18/18/18</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图书馆</w:t>
            </w:r>
          </w:p>
        </w:tc>
        <w:tc>
          <w:tcPr>
            <w:tcW w:w="1560" w:type="dxa"/>
          </w:tcPr>
          <w:p>
            <w:pPr>
              <w:spacing w:before="120"/>
              <w:jc w:val="center"/>
              <w:rPr>
                <w:color w:val="000000"/>
                <w:highlight w:val="none"/>
              </w:rPr>
            </w:pPr>
            <w:r>
              <w:rPr>
                <w:rFonts w:hAnsi="宋体"/>
                <w:color w:val="000000"/>
                <w:highlight w:val="none"/>
              </w:rPr>
              <w:t>怡达快速</w:t>
            </w:r>
          </w:p>
        </w:tc>
        <w:tc>
          <w:tcPr>
            <w:tcW w:w="1385" w:type="dxa"/>
          </w:tcPr>
          <w:p>
            <w:pPr>
              <w:spacing w:before="120"/>
              <w:jc w:val="center"/>
              <w:rPr>
                <w:color w:val="000000"/>
                <w:highlight w:val="none"/>
              </w:rPr>
            </w:pPr>
            <w:r>
              <w:rPr>
                <w:color w:val="000000"/>
                <w:highlight w:val="none"/>
              </w:rPr>
              <w:t>4/4/4</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图书馆</w:t>
            </w:r>
          </w:p>
        </w:tc>
        <w:tc>
          <w:tcPr>
            <w:tcW w:w="1560" w:type="dxa"/>
          </w:tcPr>
          <w:p>
            <w:pPr>
              <w:spacing w:before="120"/>
              <w:jc w:val="center"/>
              <w:rPr>
                <w:color w:val="000000"/>
                <w:highlight w:val="none"/>
              </w:rPr>
            </w:pPr>
            <w:r>
              <w:rPr>
                <w:rFonts w:hAnsi="宋体"/>
                <w:color w:val="000000"/>
                <w:highlight w:val="none"/>
              </w:rPr>
              <w:t>怡达快速</w:t>
            </w:r>
          </w:p>
        </w:tc>
        <w:tc>
          <w:tcPr>
            <w:tcW w:w="1385" w:type="dxa"/>
          </w:tcPr>
          <w:p>
            <w:pPr>
              <w:spacing w:before="120"/>
              <w:jc w:val="center"/>
              <w:rPr>
                <w:color w:val="000000"/>
                <w:highlight w:val="none"/>
              </w:rPr>
            </w:pPr>
            <w:r>
              <w:rPr>
                <w:color w:val="000000"/>
                <w:highlight w:val="none"/>
              </w:rPr>
              <w:t>4/4/4</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图书馆</w:t>
            </w:r>
          </w:p>
        </w:tc>
        <w:tc>
          <w:tcPr>
            <w:tcW w:w="1560" w:type="dxa"/>
          </w:tcPr>
          <w:p>
            <w:pPr>
              <w:spacing w:before="120"/>
              <w:jc w:val="center"/>
              <w:rPr>
                <w:color w:val="000000"/>
                <w:highlight w:val="none"/>
              </w:rPr>
            </w:pPr>
            <w:r>
              <w:rPr>
                <w:rFonts w:hAnsi="宋体"/>
                <w:color w:val="000000"/>
                <w:highlight w:val="none"/>
              </w:rPr>
              <w:t>怡达快速</w:t>
            </w:r>
          </w:p>
        </w:tc>
        <w:tc>
          <w:tcPr>
            <w:tcW w:w="1385" w:type="dxa"/>
          </w:tcPr>
          <w:p>
            <w:pPr>
              <w:spacing w:before="120"/>
              <w:jc w:val="center"/>
              <w:rPr>
                <w:color w:val="000000"/>
                <w:highlight w:val="none"/>
              </w:rPr>
            </w:pPr>
            <w:r>
              <w:rPr>
                <w:color w:val="000000"/>
                <w:highlight w:val="none"/>
              </w:rPr>
              <w:t>4/4/4</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学生活动中心</w:t>
            </w:r>
          </w:p>
        </w:tc>
        <w:tc>
          <w:tcPr>
            <w:tcW w:w="1560" w:type="dxa"/>
          </w:tcPr>
          <w:p>
            <w:pPr>
              <w:spacing w:before="120"/>
              <w:jc w:val="center"/>
              <w:rPr>
                <w:color w:val="000000"/>
                <w:highlight w:val="none"/>
              </w:rPr>
            </w:pPr>
            <w:r>
              <w:rPr>
                <w:rFonts w:hAnsi="宋体"/>
                <w:color w:val="000000"/>
                <w:highlight w:val="none"/>
              </w:rPr>
              <w:t>怡达快速</w:t>
            </w:r>
          </w:p>
        </w:tc>
        <w:tc>
          <w:tcPr>
            <w:tcW w:w="1385" w:type="dxa"/>
          </w:tcPr>
          <w:p>
            <w:pPr>
              <w:spacing w:before="120"/>
              <w:jc w:val="center"/>
              <w:rPr>
                <w:color w:val="000000"/>
                <w:highlight w:val="none"/>
              </w:rPr>
            </w:pPr>
            <w:r>
              <w:rPr>
                <w:color w:val="000000"/>
                <w:highlight w:val="none"/>
              </w:rPr>
              <w:t>3/3/3</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学生活动中心</w:t>
            </w:r>
          </w:p>
        </w:tc>
        <w:tc>
          <w:tcPr>
            <w:tcW w:w="1560" w:type="dxa"/>
          </w:tcPr>
          <w:p>
            <w:pPr>
              <w:spacing w:before="120"/>
              <w:jc w:val="center"/>
              <w:rPr>
                <w:color w:val="000000"/>
                <w:highlight w:val="none"/>
              </w:rPr>
            </w:pPr>
            <w:r>
              <w:rPr>
                <w:rFonts w:hAnsi="宋体"/>
                <w:color w:val="000000"/>
                <w:highlight w:val="none"/>
              </w:rPr>
              <w:t>怡达快速</w:t>
            </w:r>
          </w:p>
        </w:tc>
        <w:tc>
          <w:tcPr>
            <w:tcW w:w="1385" w:type="dxa"/>
          </w:tcPr>
          <w:p>
            <w:pPr>
              <w:spacing w:before="120"/>
              <w:jc w:val="center"/>
              <w:rPr>
                <w:color w:val="000000"/>
                <w:highlight w:val="none"/>
              </w:rPr>
            </w:pPr>
            <w:r>
              <w:rPr>
                <w:color w:val="000000"/>
                <w:highlight w:val="none"/>
              </w:rPr>
              <w:t>3/3/3</w:t>
            </w:r>
          </w:p>
        </w:tc>
        <w:tc>
          <w:tcPr>
            <w:tcW w:w="1276" w:type="dxa"/>
          </w:tcPr>
          <w:p>
            <w:pPr>
              <w:spacing w:before="120"/>
              <w:jc w:val="center"/>
              <w:rPr>
                <w:color w:val="000000"/>
                <w:highlight w:val="none"/>
              </w:rPr>
            </w:pPr>
            <w:r>
              <w:rPr>
                <w:color w:val="000000"/>
                <w:highlight w:val="none"/>
              </w:rPr>
              <w:t>1.5m∕s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int="eastAsia" w:hAnsi="宋体"/>
                <w:color w:val="000000"/>
                <w:sz w:val="18"/>
                <w:szCs w:val="18"/>
                <w:highlight w:val="none"/>
              </w:rPr>
              <w:t>1号</w:t>
            </w:r>
            <w:r>
              <w:rPr>
                <w:rFonts w:hAnsi="宋体"/>
                <w:color w:val="000000"/>
                <w:sz w:val="18"/>
                <w:szCs w:val="18"/>
                <w:highlight w:val="none"/>
              </w:rPr>
              <w:t>机械</w:t>
            </w:r>
            <w:r>
              <w:rPr>
                <w:rFonts w:hint="eastAsia" w:ascii="宋体" w:hAnsi="宋体" w:cs="宋体"/>
                <w:color w:val="000000"/>
                <w:sz w:val="18"/>
                <w:szCs w:val="18"/>
                <w:highlight w:val="none"/>
              </w:rPr>
              <w:t>/</w:t>
            </w:r>
            <w:r>
              <w:rPr>
                <w:rFonts w:hint="eastAsia" w:hAnsi="宋体"/>
                <w:color w:val="000000"/>
                <w:sz w:val="18"/>
                <w:szCs w:val="18"/>
                <w:highlight w:val="none"/>
              </w:rPr>
              <w:t>汽修</w:t>
            </w:r>
            <w:r>
              <w:rPr>
                <w:rFonts w:hAnsi="宋体"/>
                <w:color w:val="000000"/>
                <w:sz w:val="18"/>
                <w:szCs w:val="18"/>
                <w:highlight w:val="none"/>
              </w:rPr>
              <w:t>实训楼</w:t>
            </w:r>
          </w:p>
        </w:tc>
        <w:tc>
          <w:tcPr>
            <w:tcW w:w="1560" w:type="dxa"/>
          </w:tcPr>
          <w:p>
            <w:pPr>
              <w:spacing w:before="120"/>
              <w:jc w:val="center"/>
              <w:rPr>
                <w:color w:val="000000"/>
                <w:highlight w:val="none"/>
              </w:rPr>
            </w:pPr>
            <w:r>
              <w:rPr>
                <w:rFonts w:hAnsi="宋体"/>
                <w:color w:val="000000"/>
                <w:highlight w:val="none"/>
              </w:rPr>
              <w:t>美迪斯</w:t>
            </w:r>
          </w:p>
        </w:tc>
        <w:tc>
          <w:tcPr>
            <w:tcW w:w="1385" w:type="dxa"/>
          </w:tcPr>
          <w:p>
            <w:pPr>
              <w:spacing w:before="120"/>
              <w:jc w:val="center"/>
              <w:rPr>
                <w:color w:val="000000"/>
                <w:highlight w:val="none"/>
              </w:rPr>
            </w:pPr>
            <w:r>
              <w:rPr>
                <w:color w:val="000000"/>
                <w:highlight w:val="none"/>
              </w:rPr>
              <w:t>6/6/6</w:t>
            </w:r>
          </w:p>
        </w:tc>
        <w:tc>
          <w:tcPr>
            <w:tcW w:w="1276" w:type="dxa"/>
          </w:tcPr>
          <w:p>
            <w:pPr>
              <w:spacing w:before="120"/>
              <w:jc w:val="center"/>
              <w:rPr>
                <w:color w:val="000000"/>
                <w:highlight w:val="none"/>
              </w:rPr>
            </w:pPr>
            <w:r>
              <w:rPr>
                <w:color w:val="000000"/>
                <w:highlight w:val="none"/>
              </w:rPr>
              <w:t>0.5m∕s</w:t>
            </w:r>
          </w:p>
        </w:tc>
        <w:tc>
          <w:tcPr>
            <w:tcW w:w="1166" w:type="dxa"/>
          </w:tcPr>
          <w:p>
            <w:pPr>
              <w:spacing w:before="120"/>
              <w:jc w:val="center"/>
              <w:rPr>
                <w:color w:val="000000"/>
                <w:highlight w:val="none"/>
              </w:rPr>
            </w:pPr>
            <w:r>
              <w:rPr>
                <w:color w:val="000000"/>
                <w:highlight w:val="none"/>
              </w:rPr>
              <w:t>3000kg</w:t>
            </w:r>
          </w:p>
        </w:tc>
        <w:tc>
          <w:tcPr>
            <w:tcW w:w="992" w:type="dxa"/>
          </w:tcPr>
          <w:p>
            <w:pPr>
              <w:spacing w:before="120"/>
              <w:jc w:val="center"/>
              <w:rPr>
                <w:b/>
                <w:color w:val="000000"/>
                <w:highlight w:val="none"/>
              </w:rPr>
            </w:pPr>
            <w:r>
              <w:rPr>
                <w:rFonts w:hint="eastAsia"/>
                <w:b/>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int="eastAsia" w:hAnsi="宋体"/>
                <w:color w:val="000000"/>
                <w:sz w:val="18"/>
                <w:szCs w:val="18"/>
                <w:highlight w:val="none"/>
              </w:rPr>
              <w:t>2号机械</w:t>
            </w:r>
            <w:r>
              <w:rPr>
                <w:rFonts w:hint="eastAsia" w:ascii="宋体" w:hAnsi="宋体" w:cs="宋体"/>
                <w:color w:val="000000"/>
                <w:sz w:val="18"/>
                <w:szCs w:val="18"/>
                <w:highlight w:val="none"/>
              </w:rPr>
              <w:t>/商务</w:t>
            </w:r>
            <w:r>
              <w:rPr>
                <w:rFonts w:hAnsi="宋体"/>
                <w:color w:val="000000"/>
                <w:sz w:val="18"/>
                <w:szCs w:val="18"/>
                <w:highlight w:val="none"/>
              </w:rPr>
              <w:t>实训楼</w:t>
            </w:r>
          </w:p>
        </w:tc>
        <w:tc>
          <w:tcPr>
            <w:tcW w:w="1560" w:type="dxa"/>
          </w:tcPr>
          <w:p>
            <w:pPr>
              <w:spacing w:before="120"/>
              <w:jc w:val="center"/>
              <w:rPr>
                <w:color w:val="000000"/>
                <w:highlight w:val="none"/>
              </w:rPr>
            </w:pPr>
            <w:r>
              <w:rPr>
                <w:rFonts w:hAnsi="宋体"/>
                <w:color w:val="000000"/>
                <w:highlight w:val="none"/>
              </w:rPr>
              <w:t>美迪斯</w:t>
            </w:r>
          </w:p>
        </w:tc>
        <w:tc>
          <w:tcPr>
            <w:tcW w:w="1385" w:type="dxa"/>
          </w:tcPr>
          <w:p>
            <w:pPr>
              <w:spacing w:before="120"/>
              <w:jc w:val="center"/>
              <w:rPr>
                <w:color w:val="000000"/>
                <w:highlight w:val="none"/>
              </w:rPr>
            </w:pPr>
            <w:r>
              <w:rPr>
                <w:color w:val="000000"/>
                <w:highlight w:val="none"/>
              </w:rPr>
              <w:t>6/6/6</w:t>
            </w:r>
          </w:p>
        </w:tc>
        <w:tc>
          <w:tcPr>
            <w:tcW w:w="1276" w:type="dxa"/>
          </w:tcPr>
          <w:p>
            <w:pPr>
              <w:spacing w:before="120"/>
              <w:jc w:val="center"/>
              <w:rPr>
                <w:color w:val="000000"/>
                <w:highlight w:val="none"/>
              </w:rPr>
            </w:pPr>
            <w:r>
              <w:rPr>
                <w:color w:val="000000"/>
                <w:highlight w:val="none"/>
              </w:rPr>
              <w:t>0.5m∕s</w:t>
            </w:r>
          </w:p>
        </w:tc>
        <w:tc>
          <w:tcPr>
            <w:tcW w:w="1166" w:type="dxa"/>
          </w:tcPr>
          <w:p>
            <w:pPr>
              <w:spacing w:before="120"/>
              <w:jc w:val="center"/>
              <w:rPr>
                <w:color w:val="000000"/>
                <w:highlight w:val="none"/>
              </w:rPr>
            </w:pPr>
            <w:r>
              <w:rPr>
                <w:color w:val="000000"/>
                <w:highlight w:val="none"/>
              </w:rPr>
              <w:t>3000kg</w:t>
            </w:r>
          </w:p>
        </w:tc>
        <w:tc>
          <w:tcPr>
            <w:tcW w:w="992" w:type="dxa"/>
          </w:tcPr>
          <w:p>
            <w:pPr>
              <w:spacing w:before="120"/>
              <w:jc w:val="center"/>
              <w:rPr>
                <w:b/>
                <w:color w:val="000000"/>
                <w:highlight w:val="none"/>
              </w:rPr>
            </w:pPr>
            <w:r>
              <w:rPr>
                <w:rFonts w:hint="eastAsia"/>
                <w:b/>
                <w:color w:val="00000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ind w:firstLine="420" w:firstLineChars="200"/>
              <w:rPr>
                <w:color w:val="000000"/>
                <w:highlight w:val="none"/>
              </w:rPr>
            </w:pPr>
            <w:r>
              <w:rPr>
                <w:rFonts w:hAnsi="宋体"/>
                <w:color w:val="000000"/>
                <w:highlight w:val="none"/>
              </w:rPr>
              <w:t>一区</w:t>
            </w:r>
            <w:r>
              <w:rPr>
                <w:rFonts w:hint="eastAsia" w:hAnsi="宋体"/>
                <w:color w:val="000000"/>
                <w:highlight w:val="none"/>
              </w:rPr>
              <w:t>食堂</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3/3/3</w:t>
            </w:r>
          </w:p>
        </w:tc>
        <w:tc>
          <w:tcPr>
            <w:tcW w:w="1276" w:type="dxa"/>
          </w:tcPr>
          <w:p>
            <w:pPr>
              <w:spacing w:before="120"/>
              <w:jc w:val="center"/>
              <w:rPr>
                <w:color w:val="000000"/>
                <w:highlight w:val="none"/>
              </w:rPr>
            </w:pPr>
            <w:r>
              <w:rPr>
                <w:color w:val="000000"/>
                <w:highlight w:val="none"/>
              </w:rPr>
              <w:t>1.0m∕s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rFonts w:hint="eastAsia"/>
                <w:b/>
                <w:color w:val="00000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Ansi="宋体"/>
                <w:color w:val="000000"/>
                <w:highlight w:val="none"/>
              </w:rPr>
              <w:t>二区</w:t>
            </w:r>
            <w:r>
              <w:rPr>
                <w:rFonts w:hint="eastAsia" w:hAnsi="宋体"/>
                <w:color w:val="000000"/>
                <w:highlight w:val="none"/>
              </w:rPr>
              <w:t>食</w:t>
            </w:r>
            <w:r>
              <w:rPr>
                <w:rFonts w:hAnsi="宋体"/>
                <w:color w:val="000000"/>
                <w:highlight w:val="none"/>
              </w:rPr>
              <w:t>堂</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4/4/4</w:t>
            </w:r>
          </w:p>
        </w:tc>
        <w:tc>
          <w:tcPr>
            <w:tcW w:w="1276" w:type="dxa"/>
          </w:tcPr>
          <w:p>
            <w:pPr>
              <w:spacing w:before="120"/>
              <w:jc w:val="center"/>
              <w:rPr>
                <w:color w:val="000000"/>
                <w:highlight w:val="none"/>
              </w:rPr>
            </w:pPr>
            <w:r>
              <w:rPr>
                <w:color w:val="000000"/>
                <w:highlight w:val="none"/>
              </w:rPr>
              <w:t>1.0m∕s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rFonts w:hint="eastAsia"/>
                <w:b/>
                <w:color w:val="00000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int="eastAsia" w:hAnsi="宋体"/>
                <w:color w:val="000000"/>
                <w:highlight w:val="none"/>
              </w:rPr>
              <w:t>三</w:t>
            </w:r>
            <w:r>
              <w:rPr>
                <w:rFonts w:hAnsi="宋体"/>
                <w:color w:val="000000"/>
                <w:highlight w:val="none"/>
              </w:rPr>
              <w:t>区</w:t>
            </w:r>
            <w:r>
              <w:rPr>
                <w:rFonts w:hint="eastAsia" w:hAnsi="宋体"/>
                <w:color w:val="000000"/>
                <w:highlight w:val="none"/>
              </w:rPr>
              <w:t>食</w:t>
            </w:r>
            <w:r>
              <w:rPr>
                <w:rFonts w:hAnsi="宋体"/>
                <w:color w:val="000000"/>
                <w:highlight w:val="none"/>
              </w:rPr>
              <w:t>堂</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4/4/4</w:t>
            </w:r>
          </w:p>
        </w:tc>
        <w:tc>
          <w:tcPr>
            <w:tcW w:w="1276" w:type="dxa"/>
          </w:tcPr>
          <w:p>
            <w:pPr>
              <w:spacing w:before="120"/>
              <w:jc w:val="center"/>
              <w:rPr>
                <w:color w:val="000000"/>
                <w:highlight w:val="none"/>
              </w:rPr>
            </w:pPr>
            <w:r>
              <w:rPr>
                <w:color w:val="000000"/>
                <w:highlight w:val="none"/>
              </w:rPr>
              <w:t>1.0m∕s</w:t>
            </w:r>
          </w:p>
        </w:tc>
        <w:tc>
          <w:tcPr>
            <w:tcW w:w="1166" w:type="dxa"/>
          </w:tcPr>
          <w:p>
            <w:pPr>
              <w:spacing w:before="120"/>
              <w:jc w:val="center"/>
              <w:rPr>
                <w:color w:val="000000"/>
                <w:highlight w:val="none"/>
              </w:rPr>
            </w:pPr>
            <w:r>
              <w:rPr>
                <w:color w:val="000000"/>
                <w:highlight w:val="none"/>
              </w:rPr>
              <w:t>1000kg</w:t>
            </w:r>
          </w:p>
        </w:tc>
        <w:tc>
          <w:tcPr>
            <w:tcW w:w="992" w:type="dxa"/>
          </w:tcPr>
          <w:p>
            <w:pPr>
              <w:spacing w:before="120"/>
              <w:jc w:val="center"/>
              <w:rPr>
                <w:b/>
                <w:color w:val="000000"/>
                <w:highlight w:val="none"/>
              </w:rPr>
            </w:pPr>
            <w:r>
              <w:rPr>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rFonts w:hAnsi="宋体"/>
                <w:color w:val="000000"/>
                <w:highlight w:val="none"/>
              </w:rPr>
            </w:pPr>
            <w:r>
              <w:rPr>
                <w:rFonts w:hint="eastAsia" w:hAnsi="宋体"/>
                <w:color w:val="000000"/>
                <w:highlight w:val="none"/>
              </w:rPr>
              <w:t>一体化实训楼</w:t>
            </w:r>
          </w:p>
        </w:tc>
        <w:tc>
          <w:tcPr>
            <w:tcW w:w="1560" w:type="dxa"/>
          </w:tcPr>
          <w:p>
            <w:pPr>
              <w:spacing w:before="120"/>
              <w:jc w:val="center"/>
              <w:rPr>
                <w:rFonts w:hAnsi="宋体"/>
                <w:color w:val="000000"/>
                <w:highlight w:val="none"/>
              </w:rPr>
            </w:pPr>
            <w:r>
              <w:rPr>
                <w:rFonts w:hint="eastAsia" w:hAnsi="宋体"/>
                <w:color w:val="000000"/>
                <w:highlight w:val="none"/>
              </w:rPr>
              <w:t>施密斯</w:t>
            </w:r>
          </w:p>
        </w:tc>
        <w:tc>
          <w:tcPr>
            <w:tcW w:w="1385" w:type="dxa"/>
          </w:tcPr>
          <w:p>
            <w:pPr>
              <w:spacing w:before="120"/>
              <w:jc w:val="center"/>
              <w:rPr>
                <w:color w:val="000000"/>
                <w:highlight w:val="none"/>
              </w:rPr>
            </w:pPr>
            <w:r>
              <w:rPr>
                <w:rFonts w:hint="eastAsia"/>
                <w:color w:val="000000"/>
                <w:highlight w:val="none"/>
              </w:rPr>
              <w:t>5</w:t>
            </w:r>
            <w:r>
              <w:rPr>
                <w:color w:val="000000"/>
                <w:highlight w:val="none"/>
              </w:rPr>
              <w:t>/</w:t>
            </w:r>
            <w:r>
              <w:rPr>
                <w:rFonts w:hint="eastAsia"/>
                <w:color w:val="000000"/>
                <w:highlight w:val="none"/>
              </w:rPr>
              <w:t>5</w:t>
            </w:r>
            <w:r>
              <w:rPr>
                <w:color w:val="000000"/>
                <w:highlight w:val="none"/>
              </w:rPr>
              <w:t>/</w:t>
            </w:r>
            <w:r>
              <w:rPr>
                <w:rFonts w:hint="eastAsia"/>
                <w:color w:val="000000"/>
                <w:highlight w:val="none"/>
              </w:rPr>
              <w:t>6</w:t>
            </w:r>
          </w:p>
        </w:tc>
        <w:tc>
          <w:tcPr>
            <w:tcW w:w="1276" w:type="dxa"/>
          </w:tcPr>
          <w:p>
            <w:pPr>
              <w:spacing w:before="120"/>
              <w:jc w:val="center"/>
              <w:rPr>
                <w:color w:val="000000"/>
                <w:highlight w:val="none"/>
              </w:rPr>
            </w:pPr>
            <w:r>
              <w:rPr>
                <w:rFonts w:hint="eastAsia"/>
                <w:color w:val="000000"/>
                <w:highlight w:val="none"/>
              </w:rPr>
              <w:t>0</w:t>
            </w:r>
            <w:r>
              <w:rPr>
                <w:color w:val="000000"/>
                <w:highlight w:val="none"/>
              </w:rPr>
              <w:t>.</w:t>
            </w:r>
            <w:r>
              <w:rPr>
                <w:rFonts w:hint="eastAsia"/>
                <w:color w:val="000000"/>
                <w:highlight w:val="none"/>
              </w:rPr>
              <w:t>5</w:t>
            </w:r>
            <w:r>
              <w:rPr>
                <w:color w:val="000000"/>
                <w:highlight w:val="none"/>
              </w:rPr>
              <w:t>m∕s</w:t>
            </w:r>
          </w:p>
        </w:tc>
        <w:tc>
          <w:tcPr>
            <w:tcW w:w="1166" w:type="dxa"/>
          </w:tcPr>
          <w:p>
            <w:pPr>
              <w:spacing w:before="120"/>
              <w:jc w:val="center"/>
              <w:rPr>
                <w:color w:val="000000"/>
                <w:highlight w:val="none"/>
              </w:rPr>
            </w:pPr>
            <w:r>
              <w:rPr>
                <w:rFonts w:hint="eastAsia"/>
                <w:color w:val="000000"/>
                <w:highlight w:val="none"/>
              </w:rPr>
              <w:t>4</w:t>
            </w:r>
            <w:r>
              <w:rPr>
                <w:color w:val="000000"/>
                <w:highlight w:val="none"/>
              </w:rPr>
              <w:t>000kg</w:t>
            </w:r>
          </w:p>
        </w:tc>
        <w:tc>
          <w:tcPr>
            <w:tcW w:w="992" w:type="dxa"/>
          </w:tcPr>
          <w:p>
            <w:pPr>
              <w:spacing w:before="120"/>
              <w:jc w:val="center"/>
              <w:rPr>
                <w:b/>
                <w:color w:val="000000"/>
                <w:highlight w:val="none"/>
              </w:rPr>
            </w:pPr>
            <w:r>
              <w:rPr>
                <w:rFonts w:hint="eastAsia"/>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int="eastAsia"/>
                <w:color w:val="000000"/>
                <w:highlight w:val="none"/>
              </w:rPr>
              <w:t>一区食堂杂物梯</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3/3/3</w:t>
            </w:r>
          </w:p>
        </w:tc>
        <w:tc>
          <w:tcPr>
            <w:tcW w:w="1276" w:type="dxa"/>
          </w:tcPr>
          <w:p>
            <w:pPr>
              <w:spacing w:before="120"/>
              <w:jc w:val="center"/>
              <w:rPr>
                <w:color w:val="000000"/>
                <w:highlight w:val="none"/>
              </w:rPr>
            </w:pPr>
            <w:r>
              <w:rPr>
                <w:rFonts w:hint="eastAsia"/>
                <w:color w:val="000000"/>
                <w:highlight w:val="none"/>
              </w:rPr>
              <w:t>0</w:t>
            </w:r>
            <w:r>
              <w:rPr>
                <w:color w:val="000000"/>
                <w:highlight w:val="none"/>
              </w:rPr>
              <w:t>.</w:t>
            </w:r>
            <w:r>
              <w:rPr>
                <w:rFonts w:hint="eastAsia"/>
                <w:color w:val="000000"/>
                <w:highlight w:val="none"/>
              </w:rPr>
              <w:t>4</w:t>
            </w:r>
            <w:r>
              <w:rPr>
                <w:color w:val="000000"/>
                <w:highlight w:val="none"/>
              </w:rPr>
              <w:t>m∕s</w:t>
            </w:r>
          </w:p>
        </w:tc>
        <w:tc>
          <w:tcPr>
            <w:tcW w:w="1166" w:type="dxa"/>
          </w:tcPr>
          <w:p>
            <w:pPr>
              <w:spacing w:before="120"/>
              <w:jc w:val="center"/>
              <w:rPr>
                <w:color w:val="000000"/>
                <w:highlight w:val="none"/>
              </w:rPr>
            </w:pPr>
            <w:r>
              <w:rPr>
                <w:rFonts w:hint="eastAsia"/>
                <w:color w:val="000000"/>
                <w:highlight w:val="none"/>
              </w:rPr>
              <w:t>2</w:t>
            </w:r>
            <w:r>
              <w:rPr>
                <w:color w:val="000000"/>
                <w:highlight w:val="none"/>
              </w:rPr>
              <w:t>00kg</w:t>
            </w:r>
          </w:p>
        </w:tc>
        <w:tc>
          <w:tcPr>
            <w:tcW w:w="992" w:type="dxa"/>
          </w:tcPr>
          <w:p>
            <w:pPr>
              <w:spacing w:before="120"/>
              <w:jc w:val="center"/>
              <w:rPr>
                <w:b/>
                <w:color w:val="000000"/>
                <w:highlight w:val="none"/>
              </w:rPr>
            </w:pPr>
            <w:r>
              <w:rPr>
                <w:rFonts w:hint="eastAsia"/>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color w:val="000000"/>
                <w:highlight w:val="none"/>
              </w:rPr>
            </w:pPr>
            <w:r>
              <w:rPr>
                <w:rFonts w:hint="eastAsia"/>
                <w:color w:val="000000"/>
                <w:highlight w:val="none"/>
              </w:rPr>
              <w:t>三区食堂杂物梯</w:t>
            </w:r>
          </w:p>
        </w:tc>
        <w:tc>
          <w:tcPr>
            <w:tcW w:w="1560" w:type="dxa"/>
          </w:tcPr>
          <w:p>
            <w:pPr>
              <w:spacing w:before="120"/>
              <w:jc w:val="center"/>
              <w:rPr>
                <w:color w:val="000000"/>
                <w:highlight w:val="none"/>
              </w:rPr>
            </w:pPr>
            <w:r>
              <w:rPr>
                <w:rFonts w:hAnsi="宋体"/>
                <w:color w:val="000000"/>
                <w:highlight w:val="none"/>
              </w:rPr>
              <w:t>西继迅达</w:t>
            </w:r>
          </w:p>
        </w:tc>
        <w:tc>
          <w:tcPr>
            <w:tcW w:w="1385" w:type="dxa"/>
          </w:tcPr>
          <w:p>
            <w:pPr>
              <w:spacing w:before="120"/>
              <w:jc w:val="center"/>
              <w:rPr>
                <w:color w:val="000000"/>
                <w:highlight w:val="none"/>
              </w:rPr>
            </w:pPr>
            <w:r>
              <w:rPr>
                <w:color w:val="000000"/>
                <w:highlight w:val="none"/>
              </w:rPr>
              <w:t>3/3/3</w:t>
            </w:r>
          </w:p>
        </w:tc>
        <w:tc>
          <w:tcPr>
            <w:tcW w:w="1276" w:type="dxa"/>
          </w:tcPr>
          <w:p>
            <w:pPr>
              <w:spacing w:before="120"/>
              <w:jc w:val="center"/>
              <w:rPr>
                <w:color w:val="000000"/>
                <w:highlight w:val="none"/>
              </w:rPr>
            </w:pPr>
            <w:r>
              <w:rPr>
                <w:rFonts w:hint="eastAsia"/>
                <w:color w:val="000000"/>
                <w:highlight w:val="none"/>
              </w:rPr>
              <w:t>0</w:t>
            </w:r>
            <w:r>
              <w:rPr>
                <w:color w:val="000000"/>
                <w:highlight w:val="none"/>
              </w:rPr>
              <w:t>.</w:t>
            </w:r>
            <w:r>
              <w:rPr>
                <w:rFonts w:hint="eastAsia"/>
                <w:color w:val="000000"/>
                <w:highlight w:val="none"/>
              </w:rPr>
              <w:t>4</w:t>
            </w:r>
            <w:r>
              <w:rPr>
                <w:color w:val="000000"/>
                <w:highlight w:val="none"/>
              </w:rPr>
              <w:t>m∕s</w:t>
            </w:r>
          </w:p>
        </w:tc>
        <w:tc>
          <w:tcPr>
            <w:tcW w:w="1166" w:type="dxa"/>
          </w:tcPr>
          <w:p>
            <w:pPr>
              <w:spacing w:before="120"/>
              <w:jc w:val="center"/>
              <w:rPr>
                <w:color w:val="000000"/>
                <w:highlight w:val="none"/>
              </w:rPr>
            </w:pPr>
            <w:r>
              <w:rPr>
                <w:rFonts w:hint="eastAsia"/>
                <w:color w:val="000000"/>
                <w:highlight w:val="none"/>
              </w:rPr>
              <w:t>2</w:t>
            </w:r>
            <w:r>
              <w:rPr>
                <w:color w:val="000000"/>
                <w:highlight w:val="none"/>
              </w:rPr>
              <w:t>00kg</w:t>
            </w:r>
          </w:p>
        </w:tc>
        <w:tc>
          <w:tcPr>
            <w:tcW w:w="992" w:type="dxa"/>
          </w:tcPr>
          <w:p>
            <w:pPr>
              <w:spacing w:before="120"/>
              <w:jc w:val="center"/>
              <w:rPr>
                <w:b/>
                <w:color w:val="000000"/>
                <w:highlight w:val="none"/>
              </w:rPr>
            </w:pPr>
            <w:r>
              <w:rPr>
                <w:rFonts w:hint="eastAsia"/>
                <w:b/>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tcPr>
          <w:p>
            <w:pPr>
              <w:spacing w:before="120"/>
              <w:jc w:val="center"/>
              <w:rPr>
                <w:rFonts w:hAnsi="宋体"/>
                <w:color w:val="000000"/>
                <w:highlight w:val="none"/>
              </w:rPr>
            </w:pPr>
            <w:r>
              <w:rPr>
                <w:rFonts w:hint="eastAsia" w:hAnsi="宋体"/>
                <w:color w:val="000000"/>
                <w:highlight w:val="none"/>
              </w:rPr>
              <w:t>合计</w:t>
            </w:r>
          </w:p>
        </w:tc>
        <w:tc>
          <w:tcPr>
            <w:tcW w:w="1560" w:type="dxa"/>
          </w:tcPr>
          <w:p>
            <w:pPr>
              <w:spacing w:before="120"/>
              <w:rPr>
                <w:rFonts w:hAnsi="宋体"/>
                <w:color w:val="000000"/>
                <w:highlight w:val="none"/>
              </w:rPr>
            </w:pPr>
          </w:p>
        </w:tc>
        <w:tc>
          <w:tcPr>
            <w:tcW w:w="1385" w:type="dxa"/>
          </w:tcPr>
          <w:p>
            <w:pPr>
              <w:spacing w:before="120"/>
              <w:rPr>
                <w:color w:val="000000"/>
                <w:highlight w:val="none"/>
              </w:rPr>
            </w:pPr>
          </w:p>
        </w:tc>
        <w:tc>
          <w:tcPr>
            <w:tcW w:w="1276" w:type="dxa"/>
          </w:tcPr>
          <w:p>
            <w:pPr>
              <w:spacing w:before="120"/>
              <w:jc w:val="center"/>
              <w:rPr>
                <w:color w:val="000000"/>
                <w:highlight w:val="none"/>
              </w:rPr>
            </w:pPr>
          </w:p>
        </w:tc>
        <w:tc>
          <w:tcPr>
            <w:tcW w:w="1166" w:type="dxa"/>
          </w:tcPr>
          <w:p>
            <w:pPr>
              <w:spacing w:before="120"/>
              <w:jc w:val="center"/>
              <w:rPr>
                <w:color w:val="000000"/>
                <w:highlight w:val="none"/>
              </w:rPr>
            </w:pPr>
          </w:p>
        </w:tc>
        <w:tc>
          <w:tcPr>
            <w:tcW w:w="992" w:type="dxa"/>
          </w:tcPr>
          <w:p>
            <w:pPr>
              <w:spacing w:before="120"/>
              <w:jc w:val="center"/>
              <w:rPr>
                <w:b/>
                <w:color w:val="000000"/>
                <w:highlight w:val="none"/>
              </w:rPr>
            </w:pPr>
            <w:r>
              <w:rPr>
                <w:rFonts w:hint="eastAsia"/>
                <w:b/>
                <w:color w:val="000000"/>
                <w:highlight w:val="none"/>
              </w:rPr>
              <w:t>28</w:t>
            </w:r>
          </w:p>
        </w:tc>
      </w:tr>
      <w:bookmarkEnd w:id="3"/>
    </w:tbl>
    <w:p>
      <w:pPr>
        <w:pStyle w:val="3"/>
        <w:rPr>
          <w:sz w:val="36"/>
          <w:szCs w:val="36"/>
          <w:highlight w:val="none"/>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bookmarkStart w:id="9" w:name="_Toc31253"/>
      <w:bookmarkStart w:id="10" w:name="_Toc454458052"/>
    </w:p>
    <w:p>
      <w:pPr>
        <w:rPr>
          <w:rFonts w:ascii="宋体" w:hAnsi="宋体" w:cs="宋体"/>
          <w:sz w:val="24"/>
          <w:szCs w:val="24"/>
          <w:highlight w:val="none"/>
        </w:rPr>
      </w:pPr>
      <w:r>
        <w:rPr>
          <w:rFonts w:hint="eastAsia" w:ascii="宋体" w:hAnsi="宋体" w:cs="宋体"/>
          <w:sz w:val="24"/>
          <w:szCs w:val="24"/>
          <w:highlight w:val="none"/>
        </w:rPr>
        <w:t>附件2：《月度、季度、半年、年度保养项目内容及要求》</w:t>
      </w:r>
    </w:p>
    <w:p>
      <w:pPr>
        <w:pStyle w:val="2"/>
        <w:ind w:firstLine="210"/>
        <w:rPr>
          <w:highlight w:val="none"/>
        </w:rPr>
      </w:pPr>
    </w:p>
    <w:tbl>
      <w:tblPr>
        <w:tblStyle w:val="3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04"/>
        <w:gridCol w:w="2644"/>
        <w:gridCol w:w="3195"/>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23" w:type="dxa"/>
          </w:tcPr>
          <w:p>
            <w:pPr>
              <w:jc w:val="center"/>
              <w:rPr>
                <w:rFonts w:ascii="宋体" w:hAnsi="宋体" w:cs="宋体"/>
                <w:b/>
                <w:highlight w:val="none"/>
              </w:rPr>
            </w:pPr>
            <w:r>
              <w:rPr>
                <w:rFonts w:ascii="宋体" w:hAnsi="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9948545</wp:posOffset>
                      </wp:positionH>
                      <wp:positionV relativeFrom="paragraph">
                        <wp:posOffset>2103755</wp:posOffset>
                      </wp:positionV>
                      <wp:extent cx="228600" cy="19812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28600" cy="1981200"/>
                              </a:xfrm>
                              <a:prstGeom prst="rect">
                                <a:avLst/>
                              </a:prstGeom>
                              <a:solidFill>
                                <a:srgbClr val="FFFFFF"/>
                              </a:solidFill>
                              <a:ln>
                                <a:noFill/>
                              </a:ln>
                              <a:effectLst/>
                            </wps:spPr>
                            <wps:txbx>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83.35pt;margin-top:165.65pt;height:156pt;width:18pt;z-index:251661312;mso-width-relative:page;mso-height-relative:page;" fillcolor="#FFFFFF" filled="t" stroked="f" coordsize="21600,21600" o:gfxdata="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J+PTZAAAADQEAAA8AAAAAAAAAAQAgAAAAIgAAAGRycy9kb3ducmV2LnhtbFBLAQIUABQAAAAI&#10;AIdO4kA1amMCJQIAAD4EAAAOAAAAAAAAAAEAIAAAACgBAABkcnMvZTJvRG9jLnhtbFBLBQYAAAAA&#10;BgAGAFkBAAC/BQAAAAA=&#10;">
                      <v:fill on="t" focussize="0,0"/>
                      <v:stroke on="f"/>
                      <v:imagedata o:title=""/>
                      <o:lock v:ext="edit" aspectratio="f"/>
                      <v:textbox inset="0mm,0mm,0mm,0mm">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v:textbox>
                    </v:shape>
                  </w:pict>
                </mc:Fallback>
              </mc:AlternateContent>
            </w:r>
          </w:p>
        </w:tc>
        <w:tc>
          <w:tcPr>
            <w:tcW w:w="604" w:type="dxa"/>
            <w:vAlign w:val="center"/>
          </w:tcPr>
          <w:p>
            <w:pPr>
              <w:ind w:left="-15" w:leftChars="-7" w:right="-128" w:rightChars="-61"/>
              <w:jc w:val="center"/>
              <w:rPr>
                <w:rFonts w:ascii="宋体" w:hAnsi="宋体" w:cs="宋体"/>
                <w:b/>
                <w:highlight w:val="none"/>
              </w:rPr>
            </w:pPr>
            <w:r>
              <w:rPr>
                <w:rFonts w:hint="eastAsia" w:ascii="宋体" w:hAnsi="宋体" w:cs="宋体"/>
                <w:b/>
                <w:highlight w:val="none"/>
              </w:rPr>
              <w:t>序号</w:t>
            </w:r>
          </w:p>
        </w:tc>
        <w:tc>
          <w:tcPr>
            <w:tcW w:w="2644" w:type="dxa"/>
            <w:shd w:val="clear" w:color="auto" w:fill="auto"/>
            <w:vAlign w:val="center"/>
          </w:tcPr>
          <w:p>
            <w:pPr>
              <w:jc w:val="center"/>
              <w:rPr>
                <w:rFonts w:ascii="宋体" w:hAnsi="宋体" w:cs="宋体"/>
                <w:b/>
                <w:highlight w:val="none"/>
              </w:rPr>
            </w:pPr>
            <w:r>
              <w:rPr>
                <w:rFonts w:hint="eastAsia" w:ascii="宋体" w:hAnsi="宋体" w:cs="宋体"/>
                <w:b/>
                <w:highlight w:val="none"/>
              </w:rPr>
              <w:t>维保项目（内容）</w:t>
            </w:r>
          </w:p>
        </w:tc>
        <w:tc>
          <w:tcPr>
            <w:tcW w:w="3195" w:type="dxa"/>
            <w:shd w:val="clear" w:color="auto" w:fill="auto"/>
            <w:vAlign w:val="center"/>
          </w:tcPr>
          <w:p>
            <w:pPr>
              <w:jc w:val="center"/>
              <w:rPr>
                <w:rFonts w:ascii="宋体" w:hAnsi="宋体" w:cs="宋体"/>
                <w:b/>
                <w:highlight w:val="none"/>
              </w:rPr>
            </w:pPr>
            <w:r>
              <w:rPr>
                <w:rFonts w:hint="eastAsia" w:ascii="宋体" w:hAnsi="宋体" w:cs="宋体"/>
                <w:b/>
                <w:highlight w:val="none"/>
              </w:rPr>
              <w:t>维保基本要求</w:t>
            </w:r>
          </w:p>
        </w:tc>
        <w:tc>
          <w:tcPr>
            <w:tcW w:w="1952" w:type="dxa"/>
            <w:shd w:val="clear" w:color="auto" w:fill="auto"/>
            <w:vAlign w:val="center"/>
          </w:tcPr>
          <w:p>
            <w:pPr>
              <w:jc w:val="center"/>
              <w:rPr>
                <w:rFonts w:ascii="宋体" w:hAnsi="宋体" w:cs="宋体"/>
                <w:b/>
                <w:highlight w:val="none"/>
              </w:rPr>
            </w:pPr>
            <w:r>
              <w:rPr>
                <w:rFonts w:hint="eastAsia" w:ascii="宋体" w:hAnsi="宋体" w:cs="宋体"/>
                <w:b/>
                <w:highlight w:val="none"/>
              </w:rPr>
              <w:t>维保情况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highlight w:val="none"/>
              </w:rPr>
            </w:pPr>
            <w:r>
              <w:rPr>
                <w:rFonts w:hint="eastAsia" w:ascii="宋体" w:hAnsi="宋体" w:cs="宋体"/>
                <w:b/>
                <w:highlight w:val="none"/>
              </w:rPr>
              <w:t>半月维保</w:t>
            </w: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机房、滑轮间环境</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清洁，门窗完好，照明正常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手动紧急操作装置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齐全，在指定位置</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3</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驱动主机</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运行时无异常振动和异常声响</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4</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制动器各销轴部位</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动作灵活</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5</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制动器间隙</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打开时制动衬与制动轮不应发生摩擦，间隙值符合制造单位要求</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6</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制动器作为轿厢意外移动保护装置制停子系统时的自监测</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制动力人工方式检测符合使用维护说明书要求；制动力自监测系统有记录</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7</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编码器</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清洁，安装牢固</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8</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限速器各销轴部位</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润滑，转动灵活；电气开关正常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9</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层门和轿门旁路装置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10</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紧急电动运行</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11</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轿顶</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清洁，防护栏安全可靠</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12</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轿顶检修开关、停止装置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13</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导靴上油杯</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吸油毛毡齐全，油量适宜，油杯无泄漏</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14</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对重/平衡重块及其压板</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对重/平衡重块无松动，压板紧固</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15</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井道照明</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齐全，正常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16</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轿厢照明、风扇、应急照明</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17</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轿厢检修开关、停止装置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18</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 xml:space="preserve">轿内报警装置、对讲系统 </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19</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轿内显示、指令按钮、IC卡系统</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齐全，有效</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20</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轿门防撞击保护装置(安全触板，光幕、光电等)</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功能有效</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21</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轿门门锁电气触点</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清洁，触点接触良好，接线可靠</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22</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轿门运行</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开启和关闭工作正常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widowControl/>
              <w:spacing w:line="10" w:lineRule="atLeast"/>
              <w:jc w:val="center"/>
              <w:rPr>
                <w:rFonts w:ascii="宋体" w:hAnsi="宋体" w:cs="宋体"/>
                <w:kern w:val="0"/>
                <w:highlight w:val="none"/>
              </w:rPr>
            </w:pPr>
          </w:p>
        </w:tc>
        <w:tc>
          <w:tcPr>
            <w:tcW w:w="604" w:type="dxa"/>
            <w:shd w:val="clear" w:color="auto" w:fill="auto"/>
            <w:vAlign w:val="center"/>
          </w:tcPr>
          <w:p>
            <w:pPr>
              <w:widowControl/>
              <w:spacing w:line="10" w:lineRule="atLeast"/>
              <w:jc w:val="center"/>
              <w:rPr>
                <w:rFonts w:ascii="宋体" w:hAnsi="宋体" w:cs="宋体"/>
                <w:kern w:val="0"/>
                <w:highlight w:val="none"/>
              </w:rPr>
            </w:pPr>
            <w:r>
              <w:rPr>
                <w:rFonts w:hint="eastAsia" w:ascii="宋体" w:hAnsi="宋体" w:cs="宋体"/>
                <w:kern w:val="0"/>
                <w:highlight w:val="none"/>
              </w:rPr>
              <w:t>23</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轿厢平层准确度</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符合标准值</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24</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层站召唤、层楼显示</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齐全，有效</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25</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层门地坎</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26</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层门自动关门装置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27</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层门门锁自动复位</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用层门钥匙打开手动开锁装置释放后，层门门锁能自动复位</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28</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层门门锁电气触点</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清洁，触点接触良好，接线可靠</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29</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层门锁紧元件啮合长度</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不小于7mm</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30</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底坑环境</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清洁，无渗水、积水，照明正常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highlight w:val="none"/>
              </w:rPr>
            </w:pPr>
          </w:p>
        </w:tc>
        <w:tc>
          <w:tcPr>
            <w:tcW w:w="604" w:type="dxa"/>
            <w:shd w:val="clear" w:color="auto" w:fill="auto"/>
            <w:vAlign w:val="center"/>
          </w:tcPr>
          <w:p>
            <w:pPr>
              <w:spacing w:line="10" w:lineRule="atLeast"/>
              <w:jc w:val="center"/>
              <w:rPr>
                <w:rFonts w:ascii="宋体" w:hAnsi="宋体" w:cs="宋体"/>
                <w:highlight w:val="none"/>
              </w:rPr>
            </w:pPr>
            <w:r>
              <w:rPr>
                <w:rFonts w:hint="eastAsia" w:ascii="宋体" w:hAnsi="宋体" w:cs="宋体"/>
                <w:highlight w:val="none"/>
              </w:rPr>
              <w:t>31</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kern w:val="0"/>
                <w:highlight w:val="none"/>
              </w:rPr>
              <w:t>底坑停止装置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both"/>
              <w:rPr>
                <w:rFonts w:hint="eastAsia" w:ascii="宋体" w:hAnsi="宋体" w:cs="宋体"/>
                <w:b/>
                <w:highlight w:val="none"/>
              </w:rPr>
            </w:pPr>
          </w:p>
          <w:p>
            <w:pPr>
              <w:spacing w:line="10" w:lineRule="atLeast"/>
              <w:jc w:val="both"/>
              <w:rPr>
                <w:rFonts w:hint="eastAsia" w:ascii="宋体" w:hAnsi="宋体" w:cs="宋体"/>
                <w:b/>
                <w:highlight w:val="none"/>
              </w:rPr>
            </w:pPr>
          </w:p>
          <w:p>
            <w:pPr>
              <w:spacing w:line="10" w:lineRule="atLeast"/>
              <w:jc w:val="both"/>
              <w:rPr>
                <w:rFonts w:hint="eastAsia" w:ascii="宋体" w:hAnsi="宋体" w:cs="宋体"/>
                <w:b/>
                <w:highlight w:val="none"/>
              </w:rPr>
            </w:pPr>
          </w:p>
          <w:p>
            <w:pPr>
              <w:spacing w:line="10" w:lineRule="atLeast"/>
              <w:jc w:val="both"/>
              <w:rPr>
                <w:rFonts w:hint="eastAsia" w:ascii="宋体" w:hAnsi="宋体" w:cs="宋体"/>
                <w:b/>
                <w:highlight w:val="none"/>
              </w:rPr>
            </w:pPr>
          </w:p>
          <w:p>
            <w:pPr>
              <w:spacing w:line="10" w:lineRule="atLeast"/>
              <w:jc w:val="both"/>
              <w:rPr>
                <w:rFonts w:hint="eastAsia" w:ascii="宋体" w:hAnsi="宋体" w:cs="宋体"/>
                <w:b/>
                <w:highlight w:val="none"/>
              </w:rPr>
            </w:pPr>
          </w:p>
          <w:p>
            <w:pPr>
              <w:spacing w:line="10" w:lineRule="atLeast"/>
              <w:jc w:val="both"/>
              <w:rPr>
                <w:rFonts w:ascii="宋体" w:hAnsi="宋体" w:cs="宋体"/>
                <w:b/>
                <w:highlight w:val="none"/>
              </w:rPr>
            </w:pPr>
            <w:r>
              <w:rPr>
                <w:rFonts w:hint="eastAsia" w:ascii="宋体" w:hAnsi="宋体" w:cs="宋体"/>
                <w:b/>
                <w:highlight w:val="none"/>
              </w:rPr>
              <w:t>季度维保</w:t>
            </w:r>
          </w:p>
        </w:tc>
        <w:tc>
          <w:tcPr>
            <w:tcW w:w="604" w:type="dxa"/>
            <w:shd w:val="clear" w:color="auto" w:fill="F2F2F2"/>
            <w:vAlign w:val="center"/>
          </w:tcPr>
          <w:p>
            <w:pPr>
              <w:spacing w:line="10" w:lineRule="atLeast"/>
              <w:jc w:val="center"/>
              <w:rPr>
                <w:rFonts w:ascii="宋体" w:hAnsi="宋体" w:cs="宋体"/>
                <w:highlight w:val="none"/>
              </w:rPr>
            </w:pPr>
            <w:r>
              <w:rPr>
                <w:rFonts w:hint="eastAsia" w:ascii="宋体" w:hAnsi="宋体" w:cs="宋体"/>
                <w:highlight w:val="none"/>
              </w:rPr>
              <w:t>32</w:t>
            </w:r>
          </w:p>
        </w:tc>
        <w:tc>
          <w:tcPr>
            <w:tcW w:w="2644" w:type="dxa"/>
            <w:shd w:val="clear" w:color="auto" w:fill="F2F2F2"/>
            <w:vAlign w:val="center"/>
          </w:tcPr>
          <w:p>
            <w:pPr>
              <w:widowControl/>
              <w:rPr>
                <w:rFonts w:ascii="宋体" w:hAnsi="宋体" w:cs="宋体"/>
                <w:kern w:val="0"/>
                <w:highlight w:val="none"/>
              </w:rPr>
            </w:pPr>
            <w:r>
              <w:rPr>
                <w:rFonts w:hint="eastAsia" w:ascii="宋体" w:hAnsi="宋体" w:cs="宋体"/>
                <w:highlight w:val="none"/>
              </w:rPr>
              <w:t>减速机润滑油</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油量适宜，除蜗杆伸出端外均无渗漏</w:t>
            </w:r>
          </w:p>
        </w:tc>
        <w:tc>
          <w:tcPr>
            <w:tcW w:w="1952" w:type="dxa"/>
            <w:shd w:val="clear" w:color="auto" w:fill="F2F2F2"/>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highlight w:val="none"/>
              </w:rPr>
            </w:pPr>
          </w:p>
        </w:tc>
        <w:tc>
          <w:tcPr>
            <w:tcW w:w="604" w:type="dxa"/>
            <w:shd w:val="clear" w:color="auto" w:fill="F2F2F2"/>
            <w:vAlign w:val="center"/>
          </w:tcPr>
          <w:p>
            <w:pPr>
              <w:spacing w:line="10" w:lineRule="atLeast"/>
              <w:jc w:val="center"/>
              <w:rPr>
                <w:rFonts w:ascii="宋体" w:hAnsi="宋体" w:cs="宋体"/>
                <w:highlight w:val="none"/>
              </w:rPr>
            </w:pPr>
            <w:r>
              <w:rPr>
                <w:rFonts w:hint="eastAsia" w:ascii="宋体" w:hAnsi="宋体" w:cs="宋体"/>
                <w:highlight w:val="none"/>
              </w:rPr>
              <w:t>33</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制动衬</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清洁，磨损量不超过制造单位要求</w:t>
            </w:r>
          </w:p>
        </w:tc>
        <w:tc>
          <w:tcPr>
            <w:tcW w:w="1952" w:type="dxa"/>
            <w:shd w:val="clear" w:color="auto" w:fill="F2F2F2"/>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highlight w:val="none"/>
              </w:rPr>
            </w:pPr>
          </w:p>
        </w:tc>
        <w:tc>
          <w:tcPr>
            <w:tcW w:w="604" w:type="dxa"/>
            <w:shd w:val="clear" w:color="auto" w:fill="F2F2F2"/>
            <w:vAlign w:val="center"/>
          </w:tcPr>
          <w:p>
            <w:pPr>
              <w:spacing w:line="10" w:lineRule="atLeast"/>
              <w:jc w:val="center"/>
              <w:rPr>
                <w:rFonts w:ascii="宋体" w:hAnsi="宋体" w:cs="宋体"/>
                <w:highlight w:val="none"/>
              </w:rPr>
            </w:pPr>
            <w:r>
              <w:rPr>
                <w:rFonts w:hint="eastAsia" w:ascii="宋体" w:hAnsi="宋体" w:cs="宋体"/>
                <w:highlight w:val="none"/>
              </w:rPr>
              <w:t>34</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编码器</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spacing w:line="10" w:lineRule="atLeas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35</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选层器动静触点</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清洁，无烧蚀</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36</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曳引轮槽、悬挂装置</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清洁，钢丝绳无严重油腻，张力均匀，符合制造单位要求</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37</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限速器轮槽、限速器钢丝绳</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清洁，无严重油腻</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38</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靴衬、滚轮</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清洁，磨损量不超过制造单位要求</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39</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验证轿门关闭的电气安全装置</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40</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层门、轿门系统中传动钢丝绳、链条、传动带</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按照制造单位要求进行清洁、调整</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41</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层门门导靴</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磨损量不超过制造单位要求</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42</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消防开关</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工作正常，功能有效</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43</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耗能缓冲器</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电气安全装置功能有效，油量适宜，柱塞无锈蚀</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44</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限速器张紧轮装置和电气安全装置</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rPr>
                <w:rFonts w:ascii="宋体" w:hAnsi="宋体" w:cs="宋体"/>
                <w:highlight w:val="none"/>
              </w:rPr>
            </w:pPr>
            <w:r>
              <w:rPr>
                <w:rFonts w:hint="eastAsia" w:ascii="宋体" w:hAnsi="宋体" w:cs="宋体"/>
                <w:highlight w:val="none"/>
              </w:rPr>
              <w:drawing>
                <wp:anchor distT="0" distB="0" distL="114300" distR="114300" simplePos="0" relativeHeight="251662336" behindDoc="0" locked="0" layoutInCell="1" allowOverlap="1">
                  <wp:simplePos x="0" y="0"/>
                  <wp:positionH relativeFrom="column">
                    <wp:posOffset>5441950</wp:posOffset>
                  </wp:positionH>
                  <wp:positionV relativeFrom="paragraph">
                    <wp:posOffset>311785</wp:posOffset>
                  </wp:positionV>
                  <wp:extent cx="1090930" cy="930275"/>
                  <wp:effectExtent l="0" t="0" r="13970" b="3175"/>
                  <wp:wrapNone/>
                  <wp:docPr id="3" name="图片 14" descr="schindl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schindler_color"/>
                          <pic:cNvPicPr>
                            <a:picLocks noChangeAspect="1"/>
                          </pic:cNvPicPr>
                        </pic:nvPicPr>
                        <pic:blipFill>
                          <a:blip r:embed="rId10"/>
                          <a:stretch>
                            <a:fillRect/>
                          </a:stretch>
                        </pic:blipFill>
                        <pic:spPr>
                          <a:xfrm>
                            <a:off x="0" y="0"/>
                            <a:ext cx="1090930" cy="93027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highlight w:val="none"/>
              </w:rPr>
            </w:pPr>
            <w:r>
              <w:rPr>
                <w:rFonts w:hint="eastAsia" w:ascii="宋体" w:hAnsi="宋体" w:cs="宋体"/>
                <w:b/>
                <w:highlight w:val="none"/>
              </w:rPr>
              <w:t>半年维保</w:t>
            </w: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45</w:t>
            </w:r>
          </w:p>
        </w:tc>
        <w:tc>
          <w:tcPr>
            <w:tcW w:w="2644" w:type="dxa"/>
            <w:shd w:val="clear" w:color="auto" w:fill="auto"/>
            <w:vAlign w:val="center"/>
          </w:tcPr>
          <w:p>
            <w:pPr>
              <w:widowControl/>
              <w:rPr>
                <w:rFonts w:ascii="宋体" w:hAnsi="宋体" w:cs="宋体"/>
                <w:kern w:val="0"/>
                <w:highlight w:val="none"/>
              </w:rPr>
            </w:pPr>
            <w:r>
              <w:rPr>
                <w:rFonts w:hint="eastAsia" w:ascii="宋体" w:hAnsi="宋体" w:cs="宋体"/>
                <w:highlight w:val="none"/>
              </w:rPr>
              <w:t>电动机与减速机联轴器</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连接无松动，弹性元件外观良好，无老化等现象</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46</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驱动轮、导向轮轴承部</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无异常声响，无振动，润滑良好</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47</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曳引轮槽</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磨损量不超过制造单位要求</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48</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制动器动作状态监测装置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工作正常，制动器动作可靠</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49</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控制柜内各接线端子</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各接线紧固、整齐，线号齐全清晰</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50</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控制柜各仪表</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显示正常</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51</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井道、对重、轿顶各反绳轮轴承部</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无异常声响，无振动，润滑良好</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52</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悬挂装置、补偿绳</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磨损量、断丝数不超过要求</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53</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绳头组合</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螺母无松动</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54</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限速器钢丝绳</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磨损量、断丝数不超过制造单位要求</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55</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层门、轿门门扇</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门扇各相关间隙符合标准值</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56</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轿门开门限制装置</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57</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对重缓冲距离</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符合标准值</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58</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补偿链(绳)与轿厢、对重接合处</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固定，无松动</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highlight w:val="none"/>
              </w:rPr>
            </w:pPr>
          </w:p>
        </w:tc>
        <w:tc>
          <w:tcPr>
            <w:tcW w:w="604" w:type="dxa"/>
            <w:shd w:val="clear" w:color="auto" w:fill="auto"/>
            <w:vAlign w:val="center"/>
          </w:tcPr>
          <w:p>
            <w:pPr>
              <w:jc w:val="center"/>
              <w:rPr>
                <w:rFonts w:ascii="宋体" w:hAnsi="宋体" w:cs="宋体"/>
                <w:highlight w:val="none"/>
              </w:rPr>
            </w:pPr>
            <w:r>
              <w:rPr>
                <w:rFonts w:hint="eastAsia" w:ascii="宋体" w:hAnsi="宋体" w:cs="宋体"/>
                <w:highlight w:val="none"/>
              </w:rPr>
              <w:t>59</w:t>
            </w:r>
          </w:p>
        </w:tc>
        <w:tc>
          <w:tcPr>
            <w:tcW w:w="2644" w:type="dxa"/>
            <w:shd w:val="clear" w:color="auto" w:fill="auto"/>
            <w:vAlign w:val="center"/>
          </w:tcPr>
          <w:p>
            <w:pPr>
              <w:rPr>
                <w:rFonts w:ascii="宋体" w:hAnsi="宋体" w:cs="宋体"/>
                <w:highlight w:val="none"/>
              </w:rPr>
            </w:pPr>
            <w:r>
              <w:rPr>
                <w:rFonts w:hint="eastAsia" w:ascii="宋体" w:hAnsi="宋体" w:cs="宋体"/>
                <w:highlight w:val="none"/>
              </w:rPr>
              <w:t>上、下极限开关</w:t>
            </w:r>
          </w:p>
        </w:tc>
        <w:tc>
          <w:tcPr>
            <w:tcW w:w="3195" w:type="dxa"/>
            <w:shd w:val="clear" w:color="auto" w:fill="auto"/>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auto"/>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highlight w:val="none"/>
              </w:rPr>
            </w:pPr>
            <w:r>
              <w:rPr>
                <w:rFonts w:hint="eastAsia" w:ascii="宋体" w:hAnsi="宋体" w:cs="宋体"/>
                <w:b/>
                <w:highlight w:val="none"/>
              </w:rPr>
              <w:t>年度维保</w:t>
            </w: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60</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减速机润滑油</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按照制造单位要求适时更换，保证油质符合要求</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61</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控制柜接触器、继电器触点</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接触良好</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62</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制动器铁芯(柱塞)</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进行清洁、润滑、检查，磨损量不超过制造单位要求</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63</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制动器制动能力</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符合制造单位要求，保持有足够的制动力</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64</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导电回路绝缘性能测试</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符合标准</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65</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限速器安全钳联动试验</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66</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上行超速保护装置动作试验</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67</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轿厢意外移动保护装置动作试验</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工作正常</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68</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轿顶、轿厢架、轿门及其附件安装螺栓</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紧固</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69</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轿厢和对重/平衡重的导轨支架</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固定，无松动</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70</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轿厢和对重/平衡重的导轨</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清洁，压板牢固</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71</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随行电缆</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无损伤</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72</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层门装置和地坎</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无影响正常使用的变形，各安装螺栓紧固</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73</w:t>
            </w:r>
          </w:p>
        </w:tc>
        <w:tc>
          <w:tcPr>
            <w:tcW w:w="2644" w:type="dxa"/>
            <w:shd w:val="clear" w:color="auto" w:fill="F2F2F2"/>
            <w:vAlign w:val="center"/>
          </w:tcPr>
          <w:p>
            <w:pPr>
              <w:widowControl/>
              <w:rPr>
                <w:rFonts w:ascii="宋体" w:hAnsi="宋体" w:cs="宋体"/>
                <w:kern w:val="0"/>
                <w:highlight w:val="none"/>
              </w:rPr>
            </w:pPr>
            <w:r>
              <w:rPr>
                <w:rFonts w:hint="eastAsia" w:ascii="宋体" w:hAnsi="宋体" w:cs="宋体"/>
                <w:highlight w:val="none"/>
              </w:rPr>
              <w:t>轿厢称重装置</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准确有效</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74</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安全钳钳座</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固定，无松动</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75</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轿底各安装螺栓</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紧固</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highlight w:val="none"/>
              </w:rPr>
            </w:pPr>
          </w:p>
        </w:tc>
        <w:tc>
          <w:tcPr>
            <w:tcW w:w="604" w:type="dxa"/>
            <w:shd w:val="clear" w:color="auto" w:fill="F2F2F2"/>
            <w:vAlign w:val="center"/>
          </w:tcPr>
          <w:p>
            <w:pPr>
              <w:jc w:val="center"/>
              <w:rPr>
                <w:rFonts w:ascii="宋体" w:hAnsi="宋体" w:cs="宋体"/>
                <w:highlight w:val="none"/>
              </w:rPr>
            </w:pPr>
            <w:r>
              <w:rPr>
                <w:rFonts w:hint="eastAsia" w:ascii="宋体" w:hAnsi="宋体" w:cs="宋体"/>
                <w:highlight w:val="none"/>
              </w:rPr>
              <w:t>76</w:t>
            </w:r>
          </w:p>
        </w:tc>
        <w:tc>
          <w:tcPr>
            <w:tcW w:w="2644" w:type="dxa"/>
            <w:shd w:val="clear" w:color="auto" w:fill="F2F2F2"/>
            <w:vAlign w:val="center"/>
          </w:tcPr>
          <w:p>
            <w:pPr>
              <w:rPr>
                <w:rFonts w:ascii="宋体" w:hAnsi="宋体" w:cs="宋体"/>
                <w:highlight w:val="none"/>
              </w:rPr>
            </w:pPr>
            <w:r>
              <w:rPr>
                <w:rFonts w:hint="eastAsia" w:ascii="宋体" w:hAnsi="宋体" w:cs="宋体"/>
                <w:highlight w:val="none"/>
              </w:rPr>
              <w:t>缓冲器</w:t>
            </w:r>
          </w:p>
        </w:tc>
        <w:tc>
          <w:tcPr>
            <w:tcW w:w="3195" w:type="dxa"/>
            <w:shd w:val="clear" w:color="auto" w:fill="F2F2F2"/>
            <w:vAlign w:val="center"/>
          </w:tcPr>
          <w:p>
            <w:pPr>
              <w:rPr>
                <w:rFonts w:ascii="宋体" w:hAnsi="宋体" w:cs="宋体"/>
                <w:highlight w:val="none"/>
              </w:rPr>
            </w:pPr>
            <w:r>
              <w:rPr>
                <w:rFonts w:hint="eastAsia" w:ascii="宋体" w:hAnsi="宋体" w:cs="宋体"/>
                <w:highlight w:val="none"/>
              </w:rPr>
              <w:t>固定，无松动</w:t>
            </w:r>
          </w:p>
        </w:tc>
        <w:tc>
          <w:tcPr>
            <w:tcW w:w="1952" w:type="dxa"/>
            <w:shd w:val="clear" w:color="auto" w:fill="F2F2F2"/>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3" w:type="dxa"/>
            <w:vAlign w:val="center"/>
          </w:tcPr>
          <w:p>
            <w:pPr>
              <w:jc w:val="center"/>
              <w:rPr>
                <w:rFonts w:ascii="宋体" w:hAnsi="宋体" w:cs="宋体"/>
                <w:highlight w:val="none"/>
              </w:rPr>
            </w:pPr>
            <w:r>
              <w:rPr>
                <w:rFonts w:hint="eastAsia" w:ascii="宋体" w:hAnsi="宋体" w:cs="宋体"/>
                <w:highlight w:val="none"/>
              </w:rPr>
              <w:t>备注</w:t>
            </w:r>
          </w:p>
        </w:tc>
        <w:tc>
          <w:tcPr>
            <w:tcW w:w="8395" w:type="dxa"/>
            <w:gridSpan w:val="4"/>
            <w:shd w:val="clear" w:color="auto" w:fill="auto"/>
            <w:vAlign w:val="center"/>
          </w:tcPr>
          <w:p>
            <w:pPr>
              <w:rPr>
                <w:rFonts w:ascii="宋体" w:hAnsi="宋体" w:cs="宋体"/>
                <w:highlight w:val="none"/>
              </w:rPr>
            </w:pPr>
          </w:p>
          <w:p>
            <w:pPr>
              <w:rPr>
                <w:rFonts w:ascii="宋体" w:hAnsi="宋体" w:cs="宋体"/>
                <w:highlight w:val="none"/>
              </w:rPr>
            </w:pPr>
          </w:p>
        </w:tc>
      </w:tr>
    </w:tbl>
    <w:p>
      <w:pPr>
        <w:rPr>
          <w:rFonts w:ascii="宋体" w:hAnsi="宋体" w:cs="宋体"/>
          <w:highlight w:val="none"/>
        </w:rPr>
      </w:pPr>
    </w:p>
    <w:p>
      <w:pPr>
        <w:pStyle w:val="3"/>
        <w:jc w:val="center"/>
        <w:rPr>
          <w:sz w:val="36"/>
          <w:szCs w:val="36"/>
          <w:highlight w:val="none"/>
        </w:rPr>
        <w:sectPr>
          <w:pgSz w:w="11906" w:h="16838"/>
          <w:pgMar w:top="1440" w:right="1800" w:bottom="1440" w:left="1800" w:header="851" w:footer="992" w:gutter="0"/>
          <w:cols w:space="425" w:num="1"/>
          <w:docGrid w:type="lines" w:linePitch="312" w:charSpace="0"/>
        </w:sectPr>
      </w:pPr>
    </w:p>
    <w:p>
      <w:pPr>
        <w:pStyle w:val="3"/>
        <w:jc w:val="center"/>
        <w:rPr>
          <w:sz w:val="36"/>
          <w:szCs w:val="36"/>
          <w:highlight w:val="none"/>
        </w:rPr>
      </w:pPr>
      <w:r>
        <w:rPr>
          <w:rFonts w:hint="eastAsia"/>
          <w:sz w:val="36"/>
          <w:szCs w:val="36"/>
          <w:highlight w:val="none"/>
        </w:rPr>
        <w:t>第三章 询价须知</w:t>
      </w:r>
      <w:bookmarkEnd w:id="9"/>
      <w:bookmarkEnd w:id="10"/>
    </w:p>
    <w:p>
      <w:pPr>
        <w:pStyle w:val="3"/>
        <w:adjustRightInd w:val="0"/>
        <w:snapToGrid w:val="0"/>
        <w:spacing w:line="360" w:lineRule="auto"/>
        <w:jc w:val="center"/>
        <w:rPr>
          <w:sz w:val="30"/>
          <w:szCs w:val="30"/>
          <w:highlight w:val="none"/>
        </w:rPr>
      </w:pPr>
      <w:bookmarkStart w:id="11" w:name="_Toc448133309"/>
      <w:bookmarkStart w:id="12" w:name="_Toc23116"/>
      <w:bookmarkStart w:id="13" w:name="_Toc453493032"/>
      <w:bookmarkStart w:id="14" w:name="_Toc454458053"/>
      <w:r>
        <w:rPr>
          <w:rFonts w:hint="eastAsia" w:cs="宋体"/>
          <w:sz w:val="30"/>
          <w:szCs w:val="30"/>
          <w:highlight w:val="none"/>
        </w:rPr>
        <w:t>一、总则</w:t>
      </w:r>
      <w:bookmarkEnd w:id="11"/>
      <w:bookmarkEnd w:id="12"/>
      <w:bookmarkEnd w:id="13"/>
      <w:bookmarkEnd w:id="14"/>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1.定义</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1.1货物：指供应商为满足《采购需求书》要求而提供的所有货物。</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1.2采购人：</w:t>
      </w:r>
      <w:r>
        <w:rPr>
          <w:rFonts w:hint="eastAsia" w:ascii="Times New Roman" w:hAnsi="Times New Roman" w:cs="宋体"/>
          <w:highlight w:val="none"/>
        </w:rPr>
        <w:t>广西南宁技师学院。</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1.3供应商：指</w:t>
      </w:r>
      <w:r>
        <w:rPr>
          <w:rFonts w:hint="eastAsia" w:ascii="宋体" w:hAnsi="宋体" w:cs="宋体"/>
          <w:highlight w:val="none"/>
          <w:lang w:eastAsia="zh-TW"/>
        </w:rPr>
        <w:t>响应</w:t>
      </w:r>
      <w:r>
        <w:rPr>
          <w:rFonts w:hint="eastAsia" w:ascii="宋体" w:hAnsi="宋体" w:cs="宋体"/>
          <w:highlight w:val="none"/>
        </w:rPr>
        <w:t>询价文件</w:t>
      </w:r>
      <w:r>
        <w:rPr>
          <w:rFonts w:hint="eastAsia" w:ascii="宋体" w:hAnsi="宋体" w:cs="宋体"/>
          <w:highlight w:val="none"/>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1.4</w:t>
      </w:r>
      <w:r>
        <w:rPr>
          <w:rFonts w:hint="eastAsia" w:ascii="Times New Roman" w:hAnsi="Times New Roman" w:cs="宋体"/>
          <w:highlight w:val="none"/>
        </w:rPr>
        <w:t>监管管理部门：</w:t>
      </w:r>
      <w:r>
        <w:rPr>
          <w:rFonts w:hint="eastAsia" w:ascii="宋体" w:hAnsi="宋体" w:cs="宋体"/>
          <w:highlight w:val="none"/>
        </w:rPr>
        <w:t>广西南宁技师学院党委办公室。</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w:t>
      </w:r>
      <w:r>
        <w:rPr>
          <w:rFonts w:ascii="宋体" w:hAnsi="宋体" w:cs="宋体"/>
          <w:highlight w:val="none"/>
        </w:rPr>
        <w:t>5</w:t>
      </w:r>
      <w:r>
        <w:rPr>
          <w:rFonts w:hint="eastAsia" w:ascii="宋体" w:hAnsi="宋体" w:cs="宋体"/>
          <w:highlight w:val="none"/>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highlight w:val="none"/>
        </w:rPr>
        <w:t>；</w:t>
      </w:r>
    </w:p>
    <w:p>
      <w:pPr>
        <w:adjustRightInd w:val="0"/>
        <w:snapToGrid w:val="0"/>
        <w:spacing w:line="360" w:lineRule="auto"/>
        <w:ind w:firstLine="420" w:firstLineChars="200"/>
        <w:rPr>
          <w:rFonts w:ascii="宋体" w:hAnsi="宋体" w:cs="宋体"/>
          <w:color w:val="000000"/>
          <w:highlight w:val="none"/>
        </w:rPr>
      </w:pPr>
      <w:r>
        <w:rPr>
          <w:rFonts w:hint="eastAsia" w:ascii="宋体" w:hAnsi="宋体" w:cs="宋体"/>
          <w:highlight w:val="none"/>
        </w:rPr>
        <w:t>1.</w:t>
      </w:r>
      <w:r>
        <w:rPr>
          <w:rFonts w:ascii="宋体" w:hAnsi="宋体" w:cs="宋体"/>
          <w:highlight w:val="none"/>
        </w:rPr>
        <w:t>6</w:t>
      </w:r>
      <w:r>
        <w:rPr>
          <w:rFonts w:hint="eastAsia" w:ascii="宋体" w:hAnsi="宋体" w:cs="宋体"/>
          <w:highlight w:val="none"/>
        </w:rPr>
        <w:t>实质性响应：</w:t>
      </w:r>
      <w:r>
        <w:rPr>
          <w:rFonts w:hint="eastAsia" w:ascii="宋体" w:hAnsi="宋体" w:cs="宋体"/>
          <w:color w:val="000000"/>
          <w:highlight w:val="none"/>
        </w:rPr>
        <w:t>是指符合</w:t>
      </w:r>
      <w:r>
        <w:rPr>
          <w:rFonts w:hint="eastAsia" w:ascii="宋体" w:hAnsi="宋体" w:cs="宋体"/>
          <w:highlight w:val="none"/>
        </w:rPr>
        <w:t>询价</w:t>
      </w:r>
      <w:r>
        <w:rPr>
          <w:rFonts w:hint="eastAsia" w:ascii="宋体" w:hAnsi="宋体" w:cs="宋体"/>
          <w:color w:val="000000"/>
          <w:highlight w:val="none"/>
        </w:rPr>
        <w:t>文件实质性条款的要求。</w:t>
      </w:r>
    </w:p>
    <w:p>
      <w:pPr>
        <w:adjustRightInd w:val="0"/>
        <w:snapToGrid w:val="0"/>
        <w:spacing w:line="360" w:lineRule="auto"/>
        <w:ind w:firstLine="420" w:firstLineChars="200"/>
        <w:rPr>
          <w:rFonts w:ascii="宋体" w:hAnsi="Times New Roman" w:cs="宋体"/>
          <w:color w:val="000000"/>
          <w:highlight w:val="none"/>
        </w:rPr>
      </w:pPr>
      <w:r>
        <w:rPr>
          <w:rFonts w:hint="eastAsia" w:ascii="宋体" w:hAnsi="宋体" w:cs="宋体"/>
          <w:highlight w:val="none"/>
        </w:rPr>
        <w:t>1.</w:t>
      </w:r>
      <w:r>
        <w:rPr>
          <w:rFonts w:ascii="宋体" w:hAnsi="宋体" w:cs="宋体"/>
          <w:highlight w:val="none"/>
        </w:rPr>
        <w:t>7</w:t>
      </w:r>
      <w:r>
        <w:rPr>
          <w:rFonts w:hint="eastAsia" w:ascii="宋体" w:hAnsi="宋体" w:cs="宋体"/>
          <w:color w:val="000000"/>
          <w:highlight w:val="none"/>
        </w:rPr>
        <w:t>重大偏离或保留：是指影响到询价文件规定的货物</w:t>
      </w:r>
      <w:r>
        <w:rPr>
          <w:rFonts w:hint="eastAsia" w:ascii="宋体" w:hAnsi="宋体" w:cs="宋体"/>
          <w:highlight w:val="none"/>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highlight w:val="none"/>
        </w:rPr>
      </w:pPr>
      <w:r>
        <w:rPr>
          <w:rFonts w:hint="eastAsia" w:ascii="宋体" w:hAnsi="宋体" w:cs="宋体"/>
          <w:color w:val="000000"/>
          <w:highlight w:val="none"/>
        </w:rPr>
        <w:t>1.</w:t>
      </w:r>
      <w:r>
        <w:rPr>
          <w:rFonts w:ascii="宋体" w:hAnsi="宋体" w:cs="宋体"/>
          <w:color w:val="000000"/>
          <w:highlight w:val="none"/>
        </w:rPr>
        <w:t>8</w:t>
      </w:r>
      <w:r>
        <w:rPr>
          <w:rFonts w:hint="eastAsia" w:ascii="Times New Roman" w:hAnsi="Times New Roman" w:cs="宋体"/>
          <w:color w:val="000000"/>
          <w:highlight w:val="none"/>
        </w:rPr>
        <w:t>日期、天数、时间：无特别说明时是指公历日及北京时间。</w:t>
      </w:r>
      <w:r>
        <w:rPr>
          <w:rFonts w:cs="宋体"/>
          <w:b/>
          <w:color w:val="000000"/>
          <w:highlight w:val="none"/>
        </w:rPr>
        <w:t xml:space="preserve"> </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2.适用范围</w:t>
      </w:r>
    </w:p>
    <w:p>
      <w:pPr>
        <w:autoSpaceDE w:val="0"/>
        <w:autoSpaceDN w:val="0"/>
        <w:adjustRightInd w:val="0"/>
        <w:snapToGrid w:val="0"/>
        <w:spacing w:line="360" w:lineRule="auto"/>
        <w:ind w:firstLine="420" w:firstLineChars="200"/>
        <w:rPr>
          <w:rFonts w:ascii="宋体" w:hAnsi="Times New Roman" w:cs="宋体"/>
          <w:color w:val="FF0000"/>
          <w:highlight w:val="none"/>
        </w:rPr>
      </w:pPr>
      <w:r>
        <w:rPr>
          <w:rFonts w:hint="eastAsia" w:ascii="宋体" w:hAnsi="宋体" w:cs="宋体"/>
          <w:highlight w:val="none"/>
        </w:rPr>
        <w:t>2.1本询价文件</w:t>
      </w:r>
      <w:r>
        <w:rPr>
          <w:rFonts w:hint="eastAsia" w:ascii="宋体" w:hAnsi="宋体" w:cs="宋体"/>
          <w:color w:val="000000"/>
          <w:highlight w:val="none"/>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2.2采购人、供应商各方当事人适用本须知。</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3.参加询价活动费用：</w:t>
      </w:r>
    </w:p>
    <w:p>
      <w:pPr>
        <w:adjustRightInd w:val="0"/>
        <w:snapToGrid w:val="0"/>
        <w:spacing w:line="360" w:lineRule="auto"/>
        <w:ind w:firstLine="420" w:firstLineChars="200"/>
        <w:outlineLvl w:val="2"/>
        <w:rPr>
          <w:rFonts w:ascii="宋体" w:hAnsi="Times New Roman" w:cs="宋体"/>
          <w:highlight w:val="none"/>
        </w:rPr>
      </w:pPr>
      <w:r>
        <w:rPr>
          <w:rFonts w:hint="eastAsia" w:ascii="宋体" w:hAnsi="宋体" w:cs="宋体"/>
          <w:color w:val="000000"/>
          <w:highlight w:val="none"/>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highlight w:val="none"/>
        </w:rPr>
      </w:pPr>
      <w:r>
        <w:rPr>
          <w:rFonts w:hint="eastAsia" w:ascii="宋体" w:hAnsi="宋体" w:cs="宋体"/>
          <w:b/>
          <w:highlight w:val="none"/>
        </w:rPr>
        <w:t>4.其他</w:t>
      </w:r>
    </w:p>
    <w:p>
      <w:pPr>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lang w:eastAsia="zh-TW"/>
        </w:rPr>
        <w:t>所有时间均为24小时制北京时间，所有货币单位均为人民币元，所使用的计量单位均以《中华人民共和国法定计量单位》为准（特别注明除外）</w:t>
      </w:r>
      <w:r>
        <w:rPr>
          <w:rFonts w:hint="eastAsia" w:ascii="宋体" w:hAnsi="宋体" w:cs="宋体"/>
          <w:highlight w:val="none"/>
        </w:rPr>
        <w:t>。</w:t>
      </w:r>
    </w:p>
    <w:p>
      <w:pPr>
        <w:autoSpaceDE w:val="0"/>
        <w:autoSpaceDN w:val="0"/>
        <w:adjustRightInd w:val="0"/>
        <w:snapToGrid w:val="0"/>
        <w:spacing w:line="360" w:lineRule="auto"/>
        <w:ind w:firstLine="420" w:firstLineChars="200"/>
        <w:rPr>
          <w:highlight w:val="none"/>
        </w:rPr>
      </w:pPr>
    </w:p>
    <w:p>
      <w:pPr>
        <w:pStyle w:val="3"/>
        <w:adjustRightInd w:val="0"/>
        <w:snapToGrid w:val="0"/>
        <w:spacing w:line="360" w:lineRule="auto"/>
        <w:jc w:val="center"/>
        <w:rPr>
          <w:sz w:val="30"/>
          <w:szCs w:val="30"/>
          <w:highlight w:val="none"/>
        </w:rPr>
      </w:pPr>
      <w:bookmarkStart w:id="15" w:name="_Toc453493033"/>
      <w:bookmarkStart w:id="16" w:name="_Toc448133310"/>
      <w:bookmarkStart w:id="17" w:name="_Toc454458054"/>
      <w:bookmarkStart w:id="18" w:name="_Toc32133"/>
      <w:r>
        <w:rPr>
          <w:rFonts w:hint="eastAsia" w:cs="宋体"/>
          <w:sz w:val="30"/>
          <w:szCs w:val="30"/>
          <w:highlight w:val="none"/>
        </w:rPr>
        <w:t>二、询价</w:t>
      </w:r>
      <w:bookmarkEnd w:id="15"/>
      <w:bookmarkEnd w:id="16"/>
      <w:bookmarkEnd w:id="17"/>
      <w:r>
        <w:rPr>
          <w:rFonts w:hint="eastAsia" w:cs="宋体"/>
          <w:sz w:val="30"/>
          <w:szCs w:val="30"/>
          <w:highlight w:val="none"/>
        </w:rPr>
        <w:t>文件</w:t>
      </w:r>
      <w:bookmarkEnd w:id="18"/>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5.询价文件的组成</w:t>
      </w:r>
    </w:p>
    <w:p>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5.1询价文件包括：</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5.1.1询价公告</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5.1.2采购需求书</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5.1.3询价须知</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4</w:t>
      </w:r>
      <w:r>
        <w:rPr>
          <w:rFonts w:hint="eastAsia" w:ascii="宋体" w:hAnsi="宋体" w:cs="宋体"/>
          <w:highlight w:val="none"/>
        </w:rPr>
        <w:t>合同条款</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5.1.</w:t>
      </w:r>
      <w:r>
        <w:rPr>
          <w:rFonts w:ascii="宋体" w:hAnsi="宋体" w:cs="宋体"/>
          <w:highlight w:val="none"/>
        </w:rPr>
        <w:t>5</w:t>
      </w:r>
      <w:r>
        <w:rPr>
          <w:rFonts w:hint="eastAsia" w:ascii="宋体" w:hAnsi="宋体" w:cs="宋体"/>
          <w:highlight w:val="none"/>
        </w:rPr>
        <w:t>响应文件格式</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6.询价文件的澄清或修改</w:t>
      </w:r>
    </w:p>
    <w:p>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color w:val="000000"/>
          <w:highlight w:val="none"/>
        </w:rPr>
        <w:t>6.1任何要求对询价</w:t>
      </w:r>
      <w:bookmarkStart w:id="19" w:name="_Hlk42786655"/>
      <w:r>
        <w:rPr>
          <w:rFonts w:hint="eastAsia" w:ascii="宋体" w:hAnsi="宋体" w:cs="宋体"/>
          <w:color w:val="000000"/>
          <w:highlight w:val="none"/>
        </w:rPr>
        <w:t>文件</w:t>
      </w:r>
      <w:bookmarkEnd w:id="19"/>
      <w:r>
        <w:rPr>
          <w:rFonts w:hint="eastAsia" w:ascii="宋体" w:hAnsi="宋体" w:cs="宋体"/>
          <w:color w:val="000000"/>
          <w:highlight w:val="none"/>
        </w:rPr>
        <w:t>进行澄</w:t>
      </w:r>
      <w:r>
        <w:rPr>
          <w:rFonts w:hint="eastAsia" w:ascii="宋体" w:hAnsi="宋体" w:cs="宋体"/>
          <w:highlight w:val="none"/>
        </w:rPr>
        <w:t>清的供应商，均应以书面形式通知采购人。采购人收到对询价</w:t>
      </w:r>
      <w:r>
        <w:rPr>
          <w:rFonts w:hint="eastAsia" w:ascii="宋体" w:hAnsi="宋体" w:cs="宋体"/>
          <w:color w:val="000000"/>
          <w:highlight w:val="none"/>
        </w:rPr>
        <w:t>文件</w:t>
      </w:r>
      <w:r>
        <w:rPr>
          <w:rFonts w:hint="eastAsia" w:ascii="宋体" w:hAnsi="宋体" w:cs="宋体"/>
          <w:highlight w:val="none"/>
        </w:rPr>
        <w:t>的澄清要求将以书面形式答复，同时将书面答复以公告形式告知每位供应商（答复不包括问题的来源）；</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4</w:t>
      </w:r>
      <w:r>
        <w:rPr>
          <w:rFonts w:hint="eastAsia" w:ascii="宋体" w:hAnsi="宋体" w:cs="宋体"/>
          <w:color w:val="000000"/>
          <w:highlight w:val="none"/>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6.</w:t>
      </w:r>
      <w:r>
        <w:rPr>
          <w:rFonts w:ascii="宋体" w:hAnsi="宋体" w:cs="宋体"/>
          <w:color w:val="000000"/>
          <w:highlight w:val="none"/>
        </w:rPr>
        <w:t>5</w:t>
      </w:r>
      <w:r>
        <w:rPr>
          <w:rFonts w:hint="eastAsia" w:ascii="宋体" w:hAnsi="宋体" w:cs="宋体"/>
          <w:color w:val="000000"/>
          <w:highlight w:val="none"/>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7.询价文件的解释权</w:t>
      </w:r>
    </w:p>
    <w:p>
      <w:pPr>
        <w:snapToGrid w:val="0"/>
        <w:spacing w:line="360" w:lineRule="auto"/>
        <w:ind w:firstLine="420" w:firstLineChars="200"/>
        <w:rPr>
          <w:highlight w:val="none"/>
        </w:rPr>
      </w:pPr>
      <w:r>
        <w:rPr>
          <w:rFonts w:hint="eastAsia" w:ascii="宋体" w:hAnsi="宋体" w:cs="宋体"/>
          <w:color w:val="000000"/>
          <w:highlight w:val="none"/>
        </w:rPr>
        <w:t>本询价文件的</w:t>
      </w:r>
      <w:r>
        <w:rPr>
          <w:rFonts w:hint="eastAsia" w:ascii="Times New Roman" w:hAnsi="Times New Roman" w:cs="宋体"/>
          <w:highlight w:val="none"/>
        </w:rPr>
        <w:t>解释权归“广西南宁技师学院”所有。</w:t>
      </w:r>
    </w:p>
    <w:p>
      <w:pPr>
        <w:snapToGrid w:val="0"/>
        <w:spacing w:line="360" w:lineRule="auto"/>
        <w:ind w:firstLine="420" w:firstLineChars="200"/>
        <w:rPr>
          <w:highlight w:val="none"/>
        </w:rPr>
      </w:pPr>
    </w:p>
    <w:p>
      <w:pPr>
        <w:pStyle w:val="3"/>
        <w:adjustRightInd w:val="0"/>
        <w:snapToGrid w:val="0"/>
        <w:spacing w:line="360" w:lineRule="auto"/>
        <w:jc w:val="center"/>
        <w:rPr>
          <w:sz w:val="30"/>
          <w:szCs w:val="30"/>
          <w:highlight w:val="none"/>
        </w:rPr>
      </w:pPr>
      <w:bookmarkStart w:id="20" w:name="_Toc5744"/>
      <w:bookmarkStart w:id="21" w:name="_Toc453493034"/>
      <w:bookmarkStart w:id="22" w:name="_Toc454458055"/>
      <w:bookmarkStart w:id="23" w:name="_Toc448133311"/>
      <w:r>
        <w:rPr>
          <w:rFonts w:hint="eastAsia" w:cs="宋体"/>
          <w:sz w:val="30"/>
          <w:szCs w:val="30"/>
          <w:highlight w:val="none"/>
        </w:rPr>
        <w:t>三、响应文件的编制</w:t>
      </w:r>
      <w:bookmarkEnd w:id="20"/>
      <w:bookmarkEnd w:id="21"/>
      <w:bookmarkEnd w:id="22"/>
      <w:bookmarkEnd w:id="23"/>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8.响应文件的语言及计量</w:t>
      </w:r>
    </w:p>
    <w:p>
      <w:pPr>
        <w:adjustRightInd w:val="0"/>
        <w:snapToGrid w:val="0"/>
        <w:spacing w:line="360" w:lineRule="auto"/>
        <w:ind w:firstLine="420" w:firstLineChars="200"/>
        <w:outlineLvl w:val="2"/>
        <w:rPr>
          <w:rFonts w:ascii="宋体" w:hAnsi="Times New Roman" w:cs="宋体"/>
          <w:b/>
          <w:highlight w:val="none"/>
        </w:rPr>
      </w:pPr>
      <w:r>
        <w:rPr>
          <w:rFonts w:hint="eastAsia" w:ascii="宋体" w:hAnsi="宋体" w:cs="宋体"/>
          <w:color w:val="000000"/>
          <w:highlight w:val="none"/>
        </w:rPr>
        <w:t>8.1</w:t>
      </w:r>
      <w:r>
        <w:rPr>
          <w:rFonts w:hint="eastAsia" w:ascii="宋体" w:hAnsi="宋体" w:cs="宋体"/>
          <w:highlight w:val="none"/>
          <w:lang w:eastAsia="zh-TW"/>
        </w:rPr>
        <w:t>响应文件以及供应商与采购人就有关</w:t>
      </w:r>
      <w:r>
        <w:rPr>
          <w:rFonts w:hint="eastAsia" w:ascii="宋体" w:hAnsi="宋体" w:cs="宋体"/>
          <w:highlight w:val="none"/>
        </w:rPr>
        <w:t>询价</w:t>
      </w:r>
      <w:r>
        <w:rPr>
          <w:rFonts w:hint="eastAsia" w:ascii="宋体" w:hAnsi="宋体" w:cs="宋体"/>
          <w:highlight w:val="none"/>
          <w:lang w:eastAsia="zh-TW"/>
        </w:rPr>
        <w:t>的所有往来函电均应以中文书写；</w:t>
      </w:r>
    </w:p>
    <w:p>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8.2</w:t>
      </w:r>
      <w:r>
        <w:rPr>
          <w:rFonts w:hint="eastAsia" w:ascii="宋体" w:hAnsi="宋体" w:cs="宋体"/>
          <w:highlight w:val="none"/>
          <w:lang w:eastAsia="zh-TW"/>
        </w:rPr>
        <w:t>除</w:t>
      </w:r>
      <w:r>
        <w:rPr>
          <w:rFonts w:hint="eastAsia" w:ascii="宋体" w:hAnsi="宋体" w:cs="宋体"/>
          <w:highlight w:val="none"/>
        </w:rPr>
        <w:t>询价文件</w:t>
      </w:r>
      <w:r>
        <w:rPr>
          <w:rFonts w:hint="eastAsia" w:ascii="宋体" w:hAnsi="宋体" w:cs="宋体"/>
          <w:highlight w:val="none"/>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highlight w:val="none"/>
        </w:rPr>
      </w:pPr>
      <w:bookmarkStart w:id="24" w:name="_Toc378586968"/>
      <w:r>
        <w:rPr>
          <w:rFonts w:hint="eastAsia" w:ascii="宋体" w:hAnsi="宋体" w:cs="宋体"/>
          <w:b/>
          <w:highlight w:val="none"/>
        </w:rPr>
        <w:t>9.响应文件的构成</w:t>
      </w:r>
      <w:bookmarkEnd w:id="24"/>
    </w:p>
    <w:p>
      <w:pPr>
        <w:spacing w:line="360" w:lineRule="auto"/>
        <w:ind w:firstLine="420" w:firstLineChars="200"/>
        <w:rPr>
          <w:rFonts w:ascii="宋体" w:hAnsi="宋体" w:cs="宋体"/>
          <w:highlight w:val="none"/>
        </w:rPr>
      </w:pPr>
      <w:r>
        <w:rPr>
          <w:rFonts w:hint="eastAsia" w:ascii="宋体" w:hAnsi="宋体" w:cs="宋体"/>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highlight w:val="none"/>
        </w:rPr>
      </w:pPr>
      <w:r>
        <w:rPr>
          <w:rFonts w:hint="eastAsia" w:ascii="宋体" w:hAnsi="宋体" w:cs="宋体"/>
          <w:highlight w:val="none"/>
        </w:rPr>
        <w:t>（1）询价响应函；</w:t>
      </w:r>
    </w:p>
    <w:p>
      <w:pPr>
        <w:spacing w:line="360" w:lineRule="auto"/>
        <w:ind w:firstLine="420" w:firstLineChars="200"/>
        <w:rPr>
          <w:rFonts w:ascii="宋体" w:hAnsi="宋体" w:cs="宋体"/>
          <w:highlight w:val="none"/>
        </w:rPr>
      </w:pPr>
      <w:r>
        <w:rPr>
          <w:rFonts w:hint="eastAsia" w:ascii="宋体" w:hAnsi="宋体" w:cs="宋体"/>
          <w:highlight w:val="none"/>
        </w:rPr>
        <w:t xml:space="preserve">（2）供应商资格声明函； </w:t>
      </w:r>
    </w:p>
    <w:p>
      <w:pPr>
        <w:spacing w:line="360" w:lineRule="auto"/>
        <w:ind w:firstLine="420" w:firstLineChars="200"/>
        <w:rPr>
          <w:rFonts w:ascii="宋体" w:hAnsi="宋体" w:cs="宋体"/>
          <w:highlight w:val="none"/>
        </w:rPr>
      </w:pPr>
      <w:r>
        <w:rPr>
          <w:rFonts w:hint="eastAsia" w:ascii="宋体" w:hAnsi="宋体" w:cs="宋体"/>
          <w:highlight w:val="none"/>
        </w:rPr>
        <w:t>（3）无围标、串标行为承诺书；</w:t>
      </w:r>
    </w:p>
    <w:p>
      <w:pPr>
        <w:spacing w:line="360" w:lineRule="auto"/>
        <w:ind w:firstLine="420" w:firstLineChars="200"/>
        <w:rPr>
          <w:rFonts w:ascii="宋体" w:hAnsi="宋体" w:cs="宋体"/>
          <w:highlight w:val="none"/>
        </w:rPr>
      </w:pPr>
      <w:r>
        <w:rPr>
          <w:rFonts w:hint="eastAsia" w:ascii="宋体" w:hAnsi="宋体" w:cs="宋体"/>
          <w:highlight w:val="none"/>
        </w:rPr>
        <w:t>（4）法定代表人身份证明、法定代表人授权委托书；</w:t>
      </w:r>
    </w:p>
    <w:p>
      <w:pPr>
        <w:spacing w:line="360"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”条款响应一览表</w:t>
      </w:r>
    </w:p>
    <w:p>
      <w:pPr>
        <w:spacing w:line="360" w:lineRule="auto"/>
        <w:ind w:firstLine="420" w:firstLineChars="200"/>
        <w:rPr>
          <w:rFonts w:ascii="宋体" w:hAnsi="宋体" w:cs="宋体"/>
          <w:highlight w:val="none"/>
        </w:rPr>
      </w:pPr>
      <w:r>
        <w:rPr>
          <w:rFonts w:hint="eastAsia" w:ascii="宋体" w:hAnsi="宋体" w:cs="宋体"/>
          <w:highlight w:val="none"/>
        </w:rPr>
        <w:t>（6）报价表（含报价一览表、报价明细报价表）</w:t>
      </w:r>
    </w:p>
    <w:p>
      <w:pPr>
        <w:spacing w:line="360" w:lineRule="auto"/>
        <w:ind w:firstLine="420" w:firstLineChars="200"/>
        <w:rPr>
          <w:rFonts w:ascii="宋体" w:hAnsi="宋体" w:cs="宋体"/>
          <w:highlight w:val="none"/>
        </w:rPr>
      </w:pPr>
      <w:r>
        <w:rPr>
          <w:rFonts w:hint="eastAsia" w:ascii="宋体" w:hAnsi="宋体" w:cs="宋体"/>
          <w:highlight w:val="none"/>
        </w:rPr>
        <w:t>（7）供应商相关资料：</w:t>
      </w:r>
    </w:p>
    <w:p>
      <w:pPr>
        <w:spacing w:line="360" w:lineRule="auto"/>
        <w:ind w:firstLine="420" w:firstLineChars="200"/>
        <w:rPr>
          <w:rFonts w:ascii="宋体" w:hAnsi="宋体" w:cs="宋体"/>
          <w:highlight w:val="none"/>
        </w:rPr>
      </w:pPr>
      <w:r>
        <w:rPr>
          <w:rFonts w:hint="eastAsia" w:ascii="宋体" w:hAnsi="宋体" w:cs="宋体"/>
          <w:highlight w:val="none"/>
        </w:rPr>
        <w:t>1）营业执照副本、税务登记证明、组织机构代码证（注:三证合一提供营业执照）；</w:t>
      </w:r>
    </w:p>
    <w:p>
      <w:pPr>
        <w:spacing w:line="360" w:lineRule="auto"/>
        <w:ind w:firstLine="420" w:firstLineChars="200"/>
        <w:rPr>
          <w:rFonts w:ascii="宋体" w:hAnsi="宋体" w:cs="宋体"/>
          <w:highlight w:val="none"/>
        </w:rPr>
      </w:pPr>
      <w:r>
        <w:rPr>
          <w:rFonts w:hint="eastAsia" w:ascii="宋体" w:hAnsi="宋体" w:cs="宋体"/>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highlight w:val="none"/>
        </w:rPr>
      </w:pPr>
      <w:r>
        <w:rPr>
          <w:rFonts w:hint="eastAsia" w:ascii="宋体" w:hAnsi="宋体" w:cs="宋体"/>
          <w:highlight w:val="none"/>
        </w:rPr>
        <w:t>3）提供投标截止日前在“信用中国”网站（www.creditchina.gov.cn）查询结果截图复印件加盖公章；</w:t>
      </w:r>
    </w:p>
    <w:p>
      <w:pPr>
        <w:spacing w:line="360" w:lineRule="auto"/>
        <w:ind w:firstLine="420" w:firstLineChars="200"/>
        <w:rPr>
          <w:rFonts w:ascii="宋体" w:hAnsi="宋体" w:cs="宋体"/>
          <w:highlight w:val="none"/>
        </w:rPr>
      </w:pPr>
      <w:r>
        <w:rPr>
          <w:rFonts w:hint="eastAsia" w:ascii="宋体" w:hAnsi="宋体" w:cs="宋体"/>
          <w:highlight w:val="none"/>
        </w:rPr>
        <w:t>4）提供投标截止日前在中国政府采购网(www.ccgp.gov.cn) 查询结果截图复印件加盖公章；</w:t>
      </w:r>
    </w:p>
    <w:p>
      <w:pPr>
        <w:spacing w:line="360" w:lineRule="auto"/>
        <w:ind w:firstLine="420" w:firstLineChars="200"/>
        <w:rPr>
          <w:rFonts w:ascii="宋体" w:hAnsi="宋体" w:cs="宋体"/>
          <w:highlight w:val="none"/>
        </w:rPr>
      </w:pPr>
      <w:r>
        <w:rPr>
          <w:rFonts w:hint="eastAsia" w:ascii="宋体" w:hAnsi="宋体" w:cs="宋体"/>
          <w:highlight w:val="none"/>
        </w:rPr>
        <w:t>5）本项目的特定资格要求（详见第一章“询价公告”）</w:t>
      </w:r>
    </w:p>
    <w:p>
      <w:pPr>
        <w:spacing w:line="360" w:lineRule="auto"/>
        <w:ind w:firstLine="420" w:firstLineChars="200"/>
        <w:rPr>
          <w:rFonts w:ascii="宋体" w:hAnsi="宋体" w:cs="宋体"/>
          <w:highlight w:val="none"/>
        </w:rPr>
      </w:pPr>
      <w:r>
        <w:rPr>
          <w:rFonts w:hint="eastAsia" w:ascii="宋体" w:hAnsi="宋体" w:cs="宋体"/>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highlight w:val="none"/>
        </w:rPr>
      </w:pPr>
    </w:p>
    <w:p>
      <w:pPr>
        <w:tabs>
          <w:tab w:val="left" w:pos="900"/>
        </w:tabs>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highlight w:val="none"/>
        </w:rPr>
      </w:pPr>
      <w:r>
        <w:rPr>
          <w:rFonts w:hint="eastAsia" w:ascii="宋体" w:hAnsi="Times New Roman" w:cs="宋体"/>
          <w:highlight w:val="none"/>
        </w:rPr>
        <w:t>9.2响应文件的构成应符合法律法规及询价</w:t>
      </w:r>
      <w:r>
        <w:rPr>
          <w:rFonts w:hint="eastAsia" w:ascii="宋体" w:hAnsi="宋体" w:cs="宋体"/>
          <w:color w:val="000000"/>
          <w:highlight w:val="none"/>
        </w:rPr>
        <w:t>文件</w:t>
      </w:r>
      <w:r>
        <w:rPr>
          <w:rFonts w:hint="eastAsia" w:ascii="宋体" w:hAnsi="Times New Roman" w:cs="宋体"/>
          <w:highlight w:val="none"/>
        </w:rPr>
        <w:t>的要求。</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10.响应文件的编写</w:t>
      </w:r>
    </w:p>
    <w:p>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10.1供应商</w:t>
      </w:r>
      <w:r>
        <w:rPr>
          <w:rFonts w:hint="eastAsia" w:ascii="宋体" w:hAnsi="宋体" w:cs="宋体"/>
          <w:highlight w:val="none"/>
          <w:lang w:eastAsia="zh-TW"/>
        </w:rPr>
        <w:t>应完整</w:t>
      </w:r>
      <w:r>
        <w:rPr>
          <w:rFonts w:hint="eastAsia" w:ascii="宋体" w:hAnsi="宋体" w:cs="宋体"/>
          <w:highlight w:val="none"/>
        </w:rPr>
        <w:t>、真实、准确</w:t>
      </w:r>
      <w:r>
        <w:rPr>
          <w:rFonts w:hint="eastAsia" w:ascii="宋体" w:hAnsi="宋体" w:cs="宋体"/>
          <w:highlight w:val="none"/>
          <w:lang w:eastAsia="zh-TW"/>
        </w:rPr>
        <w:t>地填写</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中提供的</w:t>
      </w:r>
      <w:r>
        <w:rPr>
          <w:rFonts w:hint="eastAsia" w:ascii="宋体" w:hAnsi="宋体" w:cs="宋体"/>
          <w:highlight w:val="none"/>
        </w:rPr>
        <w:t>询价响应</w:t>
      </w:r>
      <w:r>
        <w:rPr>
          <w:rFonts w:hint="eastAsia" w:ascii="宋体" w:hAnsi="宋体" w:cs="宋体"/>
          <w:highlight w:val="none"/>
          <w:lang w:eastAsia="zh-TW"/>
        </w:rPr>
        <w:t>函、报价表以及</w:t>
      </w:r>
      <w:r>
        <w:rPr>
          <w:rFonts w:hint="eastAsia" w:ascii="宋体" w:hAnsi="宋体" w:cs="宋体"/>
          <w:highlight w:val="none"/>
        </w:rPr>
        <w:t>询价</w:t>
      </w:r>
      <w:r>
        <w:rPr>
          <w:rFonts w:hint="eastAsia" w:ascii="宋体" w:hAnsi="宋体" w:cs="宋体"/>
          <w:color w:val="000000"/>
          <w:highlight w:val="none"/>
        </w:rPr>
        <w:t>文件</w:t>
      </w:r>
      <w:r>
        <w:rPr>
          <w:rFonts w:hint="eastAsia" w:ascii="宋体" w:hAnsi="宋体" w:cs="宋体"/>
          <w:highlight w:val="none"/>
          <w:lang w:eastAsia="zh-TW"/>
        </w:rPr>
        <w:t>中规定的其它内容。</w:t>
      </w:r>
    </w:p>
    <w:p>
      <w:pPr>
        <w:adjustRightInd w:val="0"/>
        <w:snapToGrid w:val="0"/>
        <w:spacing w:line="360" w:lineRule="auto"/>
        <w:ind w:firstLine="420" w:firstLineChars="200"/>
        <w:outlineLvl w:val="2"/>
        <w:rPr>
          <w:rFonts w:ascii="宋体" w:hAnsi="Times New Roman" w:cs="宋体"/>
          <w:highlight w:val="none"/>
          <w:lang w:eastAsia="zh-TW"/>
        </w:rPr>
      </w:pPr>
      <w:r>
        <w:rPr>
          <w:rFonts w:hint="eastAsia" w:ascii="宋体" w:hAnsi="宋体" w:cs="宋体"/>
          <w:highlight w:val="none"/>
        </w:rPr>
        <w:t>10.2</w:t>
      </w:r>
      <w:r>
        <w:rPr>
          <w:rFonts w:hint="eastAsia" w:ascii="宋体" w:hAnsi="宋体" w:cs="宋体"/>
          <w:highlight w:val="none"/>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highlight w:val="none"/>
        </w:rPr>
      </w:pPr>
      <w:r>
        <w:rPr>
          <w:rFonts w:hint="eastAsia" w:ascii="宋体" w:hAnsi="宋体" w:cs="宋体"/>
          <w:highlight w:val="none"/>
        </w:rPr>
        <w:t>10.3</w:t>
      </w:r>
      <w:r>
        <w:rPr>
          <w:rFonts w:hint="eastAsia" w:ascii="宋体" w:hAnsi="宋体" w:cs="宋体"/>
          <w:color w:val="000000"/>
          <w:highlight w:val="none"/>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highlight w:val="none"/>
        </w:rPr>
      </w:pPr>
      <w:r>
        <w:rPr>
          <w:rFonts w:hint="eastAsia" w:ascii="宋体" w:hAnsi="宋体" w:cs="宋体"/>
          <w:b/>
          <w:highlight w:val="none"/>
        </w:rPr>
        <w:t>11.报价组成</w:t>
      </w:r>
    </w:p>
    <w:p>
      <w:pPr>
        <w:adjustRightInd w:val="0"/>
        <w:snapToGrid w:val="0"/>
        <w:spacing w:line="360" w:lineRule="auto"/>
        <w:ind w:firstLine="420" w:firstLineChars="200"/>
        <w:rPr>
          <w:rFonts w:ascii="宋体" w:hAnsi="Times New Roman" w:cs="宋体"/>
          <w:b/>
          <w:color w:val="0000FF"/>
          <w:highlight w:val="none"/>
        </w:rPr>
      </w:pPr>
      <w:r>
        <w:rPr>
          <w:rFonts w:hint="eastAsia" w:ascii="宋体" w:hAnsi="宋体" w:cs="宋体"/>
          <w:highlight w:val="none"/>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highlight w:val="none"/>
        </w:rPr>
      </w:pPr>
      <w:r>
        <w:rPr>
          <w:rFonts w:hint="eastAsia" w:ascii="宋体" w:hAnsi="宋体" w:cs="宋体"/>
          <w:highlight w:val="none"/>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highlight w:val="none"/>
        </w:rPr>
      </w:pPr>
      <w:bookmarkStart w:id="25" w:name="_Toc378586971"/>
      <w:r>
        <w:rPr>
          <w:rFonts w:hint="eastAsia" w:ascii="宋体" w:hAnsi="宋体" w:cs="宋体"/>
          <w:b/>
          <w:highlight w:val="none"/>
        </w:rPr>
        <w:t>12</w:t>
      </w:r>
      <w:bookmarkEnd w:id="25"/>
      <w:r>
        <w:rPr>
          <w:rFonts w:hint="eastAsia" w:ascii="宋体" w:hAnsi="宋体" w:cs="宋体"/>
          <w:b/>
          <w:highlight w:val="none"/>
        </w:rPr>
        <w:t>.供应商约束</w:t>
      </w:r>
    </w:p>
    <w:p>
      <w:pPr>
        <w:adjustRightInd w:val="0"/>
        <w:snapToGrid w:val="0"/>
        <w:spacing w:line="360" w:lineRule="auto"/>
        <w:ind w:firstLine="420" w:firstLineChars="200"/>
        <w:rPr>
          <w:rFonts w:ascii="宋体" w:hAnsi="宋体" w:cs="宋体"/>
          <w:highlight w:val="none"/>
        </w:rPr>
      </w:pPr>
      <w:bookmarkStart w:id="26" w:name="_Hlk36653371"/>
      <w:r>
        <w:rPr>
          <w:rFonts w:hint="eastAsia" w:ascii="宋体" w:hAnsi="宋体" w:cs="宋体"/>
          <w:highlight w:val="none"/>
        </w:rPr>
        <w:t>1</w:t>
      </w:r>
      <w:r>
        <w:rPr>
          <w:rFonts w:ascii="宋体" w:hAnsi="宋体" w:cs="宋体"/>
          <w:highlight w:val="none"/>
        </w:rPr>
        <w:t>2.1</w:t>
      </w:r>
      <w:bookmarkEnd w:id="26"/>
      <w:r>
        <w:rPr>
          <w:rFonts w:hint="eastAsia" w:ascii="宋体" w:hAnsi="宋体" w:cs="宋体"/>
          <w:highlight w:val="none"/>
        </w:rPr>
        <w:t>供应商存在以下情形的，将被列入供应商不良行为：</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（1）提供虚假材料谋取中标、成交的；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（2）采取不正当手段诋毁、排挤其他供应商的；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（3）与采购人、其他供应商或者采购代理机构恶意串通的；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（4）向采购人、采购代理机构行贿或者提供其他不正当利益的；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（5）在招标采购过程中与采购人进行协商谈判的；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（6）拒绝有关部门监督检查或者提供虚假情况的；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7）将中标项目转让给他人的；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t>（</w:t>
      </w:r>
      <w:r>
        <w:rPr>
          <w:rFonts w:hint="eastAsia" w:ascii="宋体" w:hAnsi="宋体" w:cs="宋体"/>
          <w:highlight w:val="none"/>
        </w:rPr>
        <w:t>8）拒绝履行合同义务的；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供应商有前款第（1）至（5）项情形之一的，中标、成交无效。</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w:t>
      </w:r>
      <w:r>
        <w:rPr>
          <w:rFonts w:ascii="宋体" w:hAnsi="宋体" w:cs="宋体"/>
          <w:highlight w:val="none"/>
        </w:rPr>
        <w:t>2.2</w:t>
      </w:r>
      <w:r>
        <w:rPr>
          <w:rFonts w:hint="eastAsia" w:ascii="宋体" w:hAnsi="宋体" w:cs="宋体"/>
          <w:highlight w:val="none"/>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13.询价有效期</w:t>
      </w:r>
    </w:p>
    <w:p>
      <w:pPr>
        <w:tabs>
          <w:tab w:val="left" w:pos="1232"/>
        </w:tabs>
        <w:snapToGrid w:val="0"/>
        <w:spacing w:line="360" w:lineRule="auto"/>
        <w:ind w:firstLine="411" w:firstLineChars="196"/>
        <w:rPr>
          <w:rFonts w:ascii="宋体" w:hAnsi="Times New Roman" w:cs="宋体"/>
          <w:b/>
          <w:highlight w:val="none"/>
        </w:rPr>
      </w:pPr>
      <w:r>
        <w:rPr>
          <w:rFonts w:hint="eastAsia" w:ascii="宋体" w:hAnsi="宋体" w:cs="宋体"/>
          <w:highlight w:val="none"/>
        </w:rPr>
        <w:t>13.1响应文件在询价开始时间后90天内有效。</w:t>
      </w:r>
    </w:p>
    <w:p>
      <w:pPr>
        <w:tabs>
          <w:tab w:val="left" w:pos="1232"/>
        </w:tabs>
        <w:snapToGrid w:val="0"/>
        <w:spacing w:line="360" w:lineRule="auto"/>
        <w:ind w:firstLine="420" w:firstLineChars="200"/>
        <w:rPr>
          <w:rFonts w:ascii="宋体" w:hAnsi="Times New Roman" w:cs="宋体"/>
          <w:highlight w:val="none"/>
        </w:rPr>
      </w:pPr>
      <w:r>
        <w:rPr>
          <w:rFonts w:hint="eastAsia" w:ascii="宋体" w:hAnsi="宋体" w:cs="宋体"/>
          <w:highlight w:val="none"/>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highlight w:val="none"/>
        </w:rPr>
      </w:pPr>
      <w:r>
        <w:rPr>
          <w:rFonts w:hint="eastAsia" w:ascii="宋体" w:hAnsi="宋体" w:cs="宋体"/>
          <w:highlight w:val="none"/>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highlight w:val="none"/>
        </w:rPr>
      </w:pPr>
      <w:r>
        <w:rPr>
          <w:rFonts w:hint="eastAsia" w:ascii="宋体" w:hAnsi="宋体" w:cs="宋体"/>
          <w:b/>
          <w:highlight w:val="none"/>
        </w:rPr>
        <w:t>14.响应文件的式样和签署</w:t>
      </w:r>
    </w:p>
    <w:p>
      <w:pPr>
        <w:snapToGrid w:val="0"/>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14.1响应文件</w:t>
      </w:r>
      <w:r>
        <w:rPr>
          <w:rFonts w:hint="eastAsia" w:ascii="宋体" w:hAnsi="宋体" w:cs="宋体"/>
          <w:b/>
          <w:color w:val="000000"/>
          <w:highlight w:val="none"/>
        </w:rPr>
        <w:t>正本一份，副本二份（封面注明供应商名称和项目编号）</w:t>
      </w:r>
      <w:r>
        <w:rPr>
          <w:rFonts w:hint="eastAsia" w:ascii="宋体" w:hAnsi="宋体" w:cs="宋体"/>
          <w:color w:val="000000"/>
          <w:highlight w:val="none"/>
        </w:rPr>
        <w:t>，在每一份响应文件上注明</w:t>
      </w:r>
      <w:r>
        <w:rPr>
          <w:rFonts w:hint="eastAsia" w:ascii="宋体" w:hAnsi="Times New Roman" w:cs="宋体"/>
          <w:color w:val="000000"/>
          <w:highlight w:val="none"/>
        </w:rPr>
        <w:t>“</w:t>
      </w:r>
      <w:r>
        <w:rPr>
          <w:rFonts w:hint="eastAsia" w:ascii="宋体" w:hAnsi="宋体" w:cs="宋体"/>
          <w:color w:val="000000"/>
          <w:highlight w:val="none"/>
        </w:rPr>
        <w:t>正本</w:t>
      </w:r>
      <w:r>
        <w:rPr>
          <w:rFonts w:hint="eastAsia" w:ascii="宋体" w:hAnsi="Times New Roman" w:cs="宋体"/>
          <w:color w:val="000000"/>
          <w:highlight w:val="none"/>
        </w:rPr>
        <w:t>”</w:t>
      </w:r>
      <w:r>
        <w:rPr>
          <w:rFonts w:hint="eastAsia" w:ascii="宋体" w:hAnsi="宋体" w:cs="宋体"/>
          <w:color w:val="000000"/>
          <w:highlight w:val="none"/>
        </w:rPr>
        <w:t>或</w:t>
      </w:r>
      <w:r>
        <w:rPr>
          <w:rFonts w:hint="eastAsia" w:ascii="宋体" w:hAnsi="Times New Roman" w:cs="宋体"/>
          <w:color w:val="000000"/>
          <w:highlight w:val="none"/>
        </w:rPr>
        <w:t>“</w:t>
      </w:r>
      <w:r>
        <w:rPr>
          <w:rFonts w:hint="eastAsia" w:ascii="宋体" w:hAnsi="宋体" w:cs="宋体"/>
          <w:color w:val="000000"/>
          <w:highlight w:val="none"/>
        </w:rPr>
        <w:t>副本</w:t>
      </w:r>
      <w:r>
        <w:rPr>
          <w:rFonts w:hint="eastAsia" w:ascii="宋体" w:hAnsi="Times New Roman" w:cs="宋体"/>
          <w:color w:val="000000"/>
          <w:highlight w:val="none"/>
        </w:rPr>
        <w:t>”</w:t>
      </w:r>
      <w:r>
        <w:rPr>
          <w:rFonts w:hint="eastAsia" w:ascii="宋体" w:hAnsi="宋体" w:cs="宋体"/>
          <w:color w:val="000000"/>
          <w:highlight w:val="none"/>
        </w:rPr>
        <w:t>字样；正本和副本内容有差异，以正本为准；</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14.3响应文件副本的所有资料都可以用正本复印而成；</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14.4响应文件正本及所有副本的封面均须加盖公章；</w:t>
      </w:r>
    </w:p>
    <w:p>
      <w:pPr>
        <w:snapToGrid w:val="0"/>
        <w:spacing w:line="360" w:lineRule="auto"/>
        <w:rPr>
          <w:rFonts w:ascii="宋体" w:hAnsi="Times New Roman" w:cs="宋体"/>
          <w:color w:val="000000"/>
          <w:highlight w:val="none"/>
        </w:rPr>
      </w:pPr>
      <w:r>
        <w:rPr>
          <w:rFonts w:hint="eastAsia" w:ascii="宋体" w:hAnsi="宋体" w:cs="宋体"/>
          <w:color w:val="000000"/>
          <w:highlight w:val="none"/>
        </w:rPr>
        <w:t xml:space="preserve">    14.5传真和邮件的响应文件将被拒绝。</w:t>
      </w:r>
    </w:p>
    <w:p>
      <w:pPr>
        <w:adjustRightInd w:val="0"/>
        <w:snapToGrid w:val="0"/>
        <w:spacing w:line="360" w:lineRule="auto"/>
        <w:rPr>
          <w:rFonts w:ascii="宋体" w:hAnsi="Times New Roman" w:cs="宋体"/>
          <w:highlight w:val="none"/>
        </w:rPr>
      </w:pPr>
    </w:p>
    <w:p>
      <w:pPr>
        <w:pStyle w:val="3"/>
        <w:adjustRightInd w:val="0"/>
        <w:snapToGrid w:val="0"/>
        <w:spacing w:line="360" w:lineRule="auto"/>
        <w:jc w:val="center"/>
        <w:rPr>
          <w:sz w:val="30"/>
          <w:szCs w:val="30"/>
          <w:highlight w:val="none"/>
        </w:rPr>
      </w:pPr>
      <w:bookmarkStart w:id="27" w:name="_Toc6491"/>
      <w:bookmarkStart w:id="28" w:name="_Toc453493035"/>
      <w:bookmarkStart w:id="29" w:name="_Toc448133312"/>
      <w:bookmarkStart w:id="30" w:name="_Toc454458056"/>
      <w:r>
        <w:rPr>
          <w:rFonts w:hint="eastAsia" w:cs="宋体"/>
          <w:sz w:val="30"/>
          <w:szCs w:val="30"/>
          <w:highlight w:val="none"/>
        </w:rPr>
        <w:t>四、响应文件的递交</w:t>
      </w:r>
      <w:bookmarkEnd w:id="27"/>
      <w:bookmarkEnd w:id="28"/>
      <w:bookmarkEnd w:id="29"/>
      <w:bookmarkEnd w:id="30"/>
    </w:p>
    <w:p>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5</w:t>
      </w:r>
      <w:r>
        <w:rPr>
          <w:rFonts w:hint="eastAsia" w:ascii="宋体" w:hAnsi="Times New Roman" w:cs="宋体"/>
          <w:b/>
          <w:highlight w:val="none"/>
          <w:lang w:eastAsia="zh-TW"/>
        </w:rPr>
        <w:t>.</w:t>
      </w:r>
      <w:r>
        <w:rPr>
          <w:rFonts w:hint="eastAsia" w:ascii="宋体" w:hAnsi="宋体" w:cs="宋体"/>
          <w:b/>
          <w:highlight w:val="none"/>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15.1</w:t>
      </w:r>
      <w:r>
        <w:rPr>
          <w:rFonts w:hint="eastAsia" w:ascii="宋体" w:hAnsi="宋体" w:cs="宋体"/>
          <w:highlight w:val="none"/>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15.2</w:t>
      </w:r>
      <w:r>
        <w:rPr>
          <w:rFonts w:hint="eastAsia" w:ascii="宋体" w:hAnsi="宋体" w:cs="宋体"/>
          <w:highlight w:val="none"/>
          <w:lang w:eastAsia="zh-TW"/>
        </w:rPr>
        <w:t>注明</w:t>
      </w:r>
      <w:r>
        <w:rPr>
          <w:rFonts w:hint="eastAsia" w:ascii="宋体" w:hAnsi="宋体" w:cs="宋体"/>
          <w:highlight w:val="none"/>
        </w:rPr>
        <w:t>询价</w:t>
      </w:r>
      <w:r>
        <w:rPr>
          <w:rFonts w:hint="eastAsia" w:ascii="宋体" w:hAnsi="宋体" w:cs="宋体"/>
          <w:highlight w:val="none"/>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highlight w:val="none"/>
          <w:lang w:eastAsia="zh-TW"/>
        </w:rPr>
      </w:pPr>
      <w:r>
        <w:rPr>
          <w:rFonts w:hint="eastAsia" w:ascii="宋体" w:hAnsi="宋体" w:cs="宋体"/>
          <w:highlight w:val="none"/>
        </w:rPr>
        <w:t xml:space="preserve">    15.3</w:t>
      </w:r>
      <w:r>
        <w:rPr>
          <w:rFonts w:hint="eastAsia" w:ascii="宋体" w:hAnsi="宋体" w:cs="宋体"/>
          <w:highlight w:val="none"/>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highlight w:val="none"/>
          <w:lang w:eastAsia="zh-TW"/>
        </w:rPr>
      </w:pPr>
      <w:r>
        <w:rPr>
          <w:rFonts w:hint="eastAsia" w:ascii="宋体" w:hAnsi="宋体" w:cs="宋体"/>
          <w:highlight w:val="none"/>
        </w:rPr>
        <w:t>15.4</w:t>
      </w:r>
      <w:r>
        <w:rPr>
          <w:rFonts w:hint="eastAsia" w:ascii="宋体" w:hAnsi="宋体" w:cs="宋体"/>
          <w:highlight w:val="none"/>
          <w:lang w:eastAsia="zh-TW"/>
        </w:rPr>
        <w:t>如果封套未按本须知要求密封和加写标记，采购人有权拒绝其</w:t>
      </w:r>
      <w:r>
        <w:rPr>
          <w:rFonts w:hint="eastAsia" w:ascii="宋体" w:hAnsi="宋体" w:cs="宋体"/>
          <w:highlight w:val="none"/>
        </w:rPr>
        <w:t>询价</w:t>
      </w:r>
      <w:r>
        <w:rPr>
          <w:rFonts w:hint="eastAsia" w:ascii="宋体" w:hAnsi="宋体" w:cs="宋体"/>
          <w:highlight w:val="none"/>
          <w:lang w:eastAsia="zh-TW"/>
        </w:rPr>
        <w:t>。</w:t>
      </w:r>
    </w:p>
    <w:p>
      <w:pPr>
        <w:autoSpaceDE w:val="0"/>
        <w:autoSpaceDN w:val="0"/>
        <w:adjustRightInd w:val="0"/>
        <w:snapToGrid w:val="0"/>
        <w:spacing w:line="360" w:lineRule="auto"/>
        <w:ind w:firstLine="413" w:firstLineChars="196"/>
        <w:jc w:val="left"/>
        <w:rPr>
          <w:rFonts w:ascii="宋体" w:hAnsi="Times New Roman" w:cs="宋体"/>
          <w:b/>
          <w:highlight w:val="none"/>
          <w:lang w:eastAsia="zh-TW"/>
        </w:rPr>
      </w:pPr>
      <w:r>
        <w:rPr>
          <w:rFonts w:hint="eastAsia" w:ascii="宋体" w:hAnsi="宋体" w:cs="宋体"/>
          <w:b/>
          <w:highlight w:val="none"/>
          <w:lang w:eastAsia="zh-TW"/>
        </w:rPr>
        <w:t>1</w:t>
      </w:r>
      <w:r>
        <w:rPr>
          <w:rFonts w:hint="eastAsia" w:ascii="宋体" w:hAnsi="宋体" w:cs="宋体"/>
          <w:b/>
          <w:highlight w:val="none"/>
        </w:rPr>
        <w:t>6</w:t>
      </w:r>
      <w:r>
        <w:rPr>
          <w:rFonts w:hint="eastAsia" w:ascii="宋体" w:hAnsi="Times New Roman" w:cs="宋体"/>
          <w:b/>
          <w:highlight w:val="none"/>
          <w:lang w:eastAsia="zh-TW"/>
        </w:rPr>
        <w:t>.</w:t>
      </w:r>
      <w:r>
        <w:rPr>
          <w:rFonts w:hint="eastAsia" w:ascii="宋体" w:hAnsi="宋体" w:cs="宋体"/>
          <w:b/>
          <w:highlight w:val="none"/>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16.1询价</w:t>
      </w:r>
      <w:r>
        <w:rPr>
          <w:rFonts w:hint="eastAsia" w:ascii="宋体" w:hAnsi="宋体" w:cs="宋体"/>
          <w:highlight w:val="none"/>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highlight w:val="none"/>
          <w:lang w:eastAsia="zh-TW"/>
        </w:rPr>
      </w:pPr>
      <w:r>
        <w:rPr>
          <w:rFonts w:hint="eastAsia" w:ascii="宋体" w:hAnsi="宋体" w:cs="宋体"/>
          <w:highlight w:val="none"/>
        </w:rPr>
        <w:t>16.2</w:t>
      </w:r>
      <w:r>
        <w:rPr>
          <w:rFonts w:hint="eastAsia" w:ascii="宋体" w:hAnsi="宋体" w:cs="宋体"/>
          <w:highlight w:val="none"/>
          <w:lang w:eastAsia="zh-TW"/>
        </w:rPr>
        <w:t>在</w:t>
      </w:r>
      <w:r>
        <w:rPr>
          <w:rFonts w:hint="eastAsia" w:ascii="宋体" w:hAnsi="宋体" w:cs="宋体"/>
          <w:highlight w:val="none"/>
        </w:rPr>
        <w:t>询价</w:t>
      </w:r>
      <w:r>
        <w:rPr>
          <w:rFonts w:hint="eastAsia" w:ascii="宋体" w:hAnsi="宋体" w:cs="宋体"/>
          <w:highlight w:val="none"/>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highlight w:val="none"/>
        </w:rPr>
      </w:pPr>
    </w:p>
    <w:p>
      <w:pPr>
        <w:pStyle w:val="3"/>
        <w:keepLines w:val="0"/>
        <w:widowControl/>
        <w:numPr>
          <w:ilvl w:val="0"/>
          <w:numId w:val="1"/>
        </w:numPr>
        <w:adjustRightInd w:val="0"/>
        <w:snapToGrid w:val="0"/>
        <w:spacing w:before="0" w:after="0" w:line="360" w:lineRule="auto"/>
        <w:jc w:val="center"/>
        <w:rPr>
          <w:sz w:val="30"/>
          <w:szCs w:val="30"/>
          <w:highlight w:val="none"/>
        </w:rPr>
      </w:pPr>
      <w:bookmarkStart w:id="31" w:name="_Toc453493036"/>
      <w:bookmarkStart w:id="32" w:name="_Toc448133313"/>
      <w:bookmarkStart w:id="33" w:name="_Toc26439"/>
      <w:bookmarkStart w:id="34" w:name="_Toc454458057"/>
      <w:r>
        <w:rPr>
          <w:rFonts w:hint="eastAsia" w:cs="宋体"/>
          <w:sz w:val="30"/>
          <w:szCs w:val="30"/>
          <w:highlight w:val="none"/>
        </w:rPr>
        <w:t>询价流程</w:t>
      </w:r>
      <w:bookmarkEnd w:id="31"/>
      <w:bookmarkEnd w:id="32"/>
      <w:bookmarkEnd w:id="33"/>
      <w:bookmarkEnd w:id="34"/>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17.询价小组</w:t>
      </w:r>
    </w:p>
    <w:p>
      <w:pPr>
        <w:adjustRightInd w:val="0"/>
        <w:snapToGrid w:val="0"/>
        <w:spacing w:line="360" w:lineRule="auto"/>
        <w:ind w:firstLine="420" w:firstLineChars="200"/>
        <w:rPr>
          <w:rFonts w:ascii="宋体" w:hAnsi="Times New Roman" w:cs="宋体"/>
          <w:b/>
          <w:highlight w:val="none"/>
        </w:rPr>
      </w:pPr>
      <w:r>
        <w:rPr>
          <w:rFonts w:hint="eastAsia" w:ascii="宋体" w:hAnsi="宋体" w:cs="宋体"/>
          <w:highlight w:val="none"/>
        </w:rPr>
        <w:t>17.1</w:t>
      </w:r>
      <w:r>
        <w:rPr>
          <w:rFonts w:hint="eastAsia" w:ascii="宋体" w:hAnsi="宋体" w:cs="宋体"/>
          <w:color w:val="000000"/>
          <w:highlight w:val="none"/>
        </w:rPr>
        <w:t>询价小组共3人，由</w:t>
      </w:r>
      <w:bookmarkStart w:id="35" w:name="_Hlk42790008"/>
      <w:r>
        <w:rPr>
          <w:rFonts w:hint="eastAsia" w:ascii="宋体" w:hAnsi="宋体" w:cs="宋体"/>
          <w:color w:val="000000"/>
          <w:highlight w:val="none"/>
        </w:rPr>
        <w:t>项目部门代表</w:t>
      </w:r>
      <w:bookmarkEnd w:id="35"/>
      <w:r>
        <w:rPr>
          <w:rFonts w:hint="eastAsia" w:ascii="宋体" w:hAnsi="宋体" w:cs="宋体"/>
          <w:color w:val="000000"/>
          <w:highlight w:val="none"/>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17.2询价小组名单在评审结果确定前严格保密</w:t>
      </w:r>
      <w:r>
        <w:rPr>
          <w:rFonts w:hint="eastAsia" w:ascii="宋体" w:hAnsi="宋体" w:cs="宋体"/>
          <w:highlight w:val="none"/>
          <w:lang w:eastAsia="zh-TW"/>
        </w:rPr>
        <w:t>。</w:t>
      </w:r>
      <w:r>
        <w:rPr>
          <w:rFonts w:hint="eastAsia" w:ascii="宋体" w:hAnsi="宋体" w:cs="宋体"/>
          <w:highlight w:val="none"/>
        </w:rPr>
        <w:t>评审</w:t>
      </w:r>
      <w:r>
        <w:rPr>
          <w:rFonts w:hint="eastAsia" w:ascii="宋体" w:hAnsi="宋体" w:cs="宋体"/>
          <w:highlight w:val="none"/>
          <w:lang w:eastAsia="zh-TW"/>
        </w:rPr>
        <w:t>专家有下列情形之一的，受到邀请应主动提出回避，</w:t>
      </w:r>
      <w:r>
        <w:rPr>
          <w:rFonts w:hint="eastAsia" w:ascii="宋体" w:hAnsi="宋体" w:cs="宋体"/>
          <w:color w:val="000000"/>
          <w:highlight w:val="none"/>
        </w:rPr>
        <w:t>采购人</w:t>
      </w:r>
      <w:r>
        <w:rPr>
          <w:rFonts w:hint="eastAsia" w:ascii="宋体" w:hAnsi="宋体" w:cs="宋体"/>
          <w:highlight w:val="none"/>
          <w:lang w:eastAsia="zh-TW"/>
        </w:rPr>
        <w:t>也可以要求该</w:t>
      </w:r>
      <w:r>
        <w:rPr>
          <w:rFonts w:hint="eastAsia" w:ascii="宋体" w:hAnsi="宋体" w:cs="宋体"/>
          <w:highlight w:val="none"/>
        </w:rPr>
        <w:t>评审</w:t>
      </w:r>
      <w:r>
        <w:rPr>
          <w:rFonts w:hint="eastAsia" w:ascii="宋体" w:hAnsi="宋体" w:cs="宋体"/>
          <w:highlight w:val="none"/>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17.2.1</w:t>
      </w:r>
      <w:r>
        <w:rPr>
          <w:rFonts w:hint="eastAsia" w:ascii="宋体" w:hAnsi="宋体" w:cs="宋体"/>
          <w:highlight w:val="none"/>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17.2.2</w:t>
      </w:r>
      <w:r>
        <w:rPr>
          <w:rFonts w:hint="eastAsia" w:ascii="宋体" w:hAnsi="宋体" w:cs="宋体"/>
          <w:highlight w:val="none"/>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17.2.3</w:t>
      </w:r>
      <w:r>
        <w:rPr>
          <w:rFonts w:hint="eastAsia" w:ascii="宋体" w:hAnsi="宋体" w:cs="宋体"/>
          <w:highlight w:val="none"/>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17.2.4</w:t>
      </w:r>
      <w:r>
        <w:rPr>
          <w:rFonts w:hint="eastAsia" w:ascii="宋体" w:hAnsi="宋体" w:cs="宋体"/>
          <w:highlight w:val="none"/>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17.2.5</w:t>
      </w:r>
      <w:r>
        <w:rPr>
          <w:rFonts w:hint="eastAsia" w:ascii="宋体" w:hAnsi="宋体" w:cs="宋体"/>
          <w:highlight w:val="none"/>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17.2.6</w:t>
      </w:r>
      <w:r>
        <w:rPr>
          <w:rFonts w:hint="eastAsia" w:ascii="宋体" w:hAnsi="宋体" w:cs="宋体"/>
          <w:highlight w:val="none"/>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17.2.7</w:t>
      </w:r>
      <w:r>
        <w:rPr>
          <w:rFonts w:hint="eastAsia" w:ascii="宋体" w:hAnsi="宋体" w:cs="宋体"/>
          <w:highlight w:val="none"/>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highlight w:val="none"/>
          <w:lang w:eastAsia="zh-TW"/>
        </w:rPr>
      </w:pPr>
      <w:r>
        <w:rPr>
          <w:rFonts w:hint="eastAsia" w:ascii="宋体" w:hAnsi="宋体" w:cs="宋体"/>
          <w:highlight w:val="none"/>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18.询价程序</w:t>
      </w:r>
    </w:p>
    <w:p>
      <w:pPr>
        <w:tabs>
          <w:tab w:val="left" w:pos="851"/>
        </w:tabs>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18.5修正错误的原则如下：</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18.5.1响应文件中的大写金额和小写金额不一致的，以大写金额为准；</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18.5.3对不同文字文本响应文件的解释发生异议的，以中文文本为准；</w:t>
      </w:r>
    </w:p>
    <w:p>
      <w:pPr>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18.</w:t>
      </w:r>
      <w:r>
        <w:rPr>
          <w:rFonts w:ascii="宋体" w:hAnsi="宋体" w:cs="宋体"/>
          <w:highlight w:val="none"/>
        </w:rPr>
        <w:t>7</w:t>
      </w:r>
      <w:r>
        <w:rPr>
          <w:rFonts w:hint="eastAsia" w:ascii="宋体" w:hAnsi="宋体" w:cs="宋体"/>
          <w:highlight w:val="none"/>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highlight w:val="none"/>
        </w:rPr>
      </w:pPr>
      <w:bookmarkStart w:id="36" w:name="_Hlk42842751"/>
      <w:r>
        <w:rPr>
          <w:rFonts w:hint="eastAsia" w:ascii="宋体" w:hAnsi="宋体" w:cs="宋体"/>
          <w:b/>
          <w:bCs/>
          <w:highlight w:val="none"/>
        </w:rPr>
        <w:t>18.</w:t>
      </w:r>
      <w:r>
        <w:rPr>
          <w:rFonts w:ascii="宋体" w:hAnsi="宋体" w:cs="宋体"/>
          <w:b/>
          <w:bCs/>
          <w:highlight w:val="none"/>
        </w:rPr>
        <w:t>8</w:t>
      </w:r>
      <w:bookmarkEnd w:id="36"/>
      <w:r>
        <w:rPr>
          <w:rFonts w:hint="eastAsia" w:ascii="宋体" w:hAnsi="宋体" w:cs="宋体"/>
          <w:b/>
          <w:bCs/>
          <w:highlight w:val="none"/>
        </w:rPr>
        <w:t>有下列情形之一的，视为供应商串通投标，其响应无效：</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不同供应商的响应文件由同一单位或者个人编制；</w:t>
      </w:r>
    </w:p>
    <w:p>
      <w:pPr>
        <w:adjustRightInd w:val="0"/>
        <w:snapToGrid w:val="0"/>
        <w:spacing w:line="360" w:lineRule="auto"/>
        <w:ind w:firstLine="420" w:firstLineChars="200"/>
        <w:rPr>
          <w:rFonts w:ascii="宋体" w:hAnsi="宋体" w:cs="宋体"/>
          <w:highlight w:val="none"/>
        </w:rPr>
      </w:pPr>
      <w:bookmarkStart w:id="37" w:name="_Hlk4284277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bookmarkEnd w:id="37"/>
      <w:r>
        <w:rPr>
          <w:rFonts w:hint="eastAsia" w:ascii="宋体" w:hAnsi="宋体" w:cs="宋体"/>
          <w:highlight w:val="none"/>
        </w:rPr>
        <w:t>不同供应商委托同一单位或者个人办理询价报价事宜；</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不同供应商的响应文件载明的项目管理成员或者联系人员为同一人；</w:t>
      </w:r>
    </w:p>
    <w:p>
      <w:pPr>
        <w:adjustRightInd w:val="0"/>
        <w:snapToGrid w:val="0"/>
        <w:spacing w:line="360" w:lineRule="auto"/>
        <w:ind w:firstLine="420" w:firstLineChars="200"/>
        <w:rPr>
          <w:rFonts w:ascii="宋体" w:hAnsi="宋体" w:cs="宋体"/>
          <w:highlight w:val="none"/>
        </w:rPr>
      </w:pPr>
      <w:bookmarkStart w:id="38" w:name="_Hlk42842786"/>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bookmarkEnd w:id="38"/>
      <w:r>
        <w:rPr>
          <w:rFonts w:hint="eastAsia" w:ascii="宋体" w:hAnsi="宋体" w:cs="宋体"/>
          <w:highlight w:val="none"/>
        </w:rPr>
        <w:t>不同供应商的响应文件异常一致或者报价呈规律性差异；</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不同供应商的响应文件相互混装；</w:t>
      </w:r>
    </w:p>
    <w:p>
      <w:pPr>
        <w:adjustRightInd w:val="0"/>
        <w:snapToGrid w:val="0"/>
        <w:spacing w:line="360" w:lineRule="auto"/>
        <w:ind w:firstLine="422" w:firstLineChars="200"/>
        <w:rPr>
          <w:rFonts w:ascii="宋体" w:hAnsi="宋体" w:cs="宋体"/>
          <w:b/>
          <w:bCs/>
          <w:highlight w:val="none"/>
        </w:rPr>
      </w:pPr>
      <w:r>
        <w:rPr>
          <w:rFonts w:hint="eastAsia" w:ascii="宋体" w:hAnsi="宋体" w:cs="宋体"/>
          <w:b/>
          <w:bCs/>
          <w:highlight w:val="none"/>
        </w:rPr>
        <w:t>18.</w:t>
      </w:r>
      <w:r>
        <w:rPr>
          <w:rFonts w:ascii="宋体" w:hAnsi="宋体" w:cs="宋体"/>
          <w:b/>
          <w:bCs/>
          <w:highlight w:val="none"/>
        </w:rPr>
        <w:t>9</w:t>
      </w:r>
      <w:r>
        <w:rPr>
          <w:rFonts w:hint="eastAsia" w:ascii="宋体" w:hAnsi="宋体" w:cs="宋体"/>
          <w:b/>
          <w:bCs/>
          <w:highlight w:val="none"/>
        </w:rPr>
        <w:t>供应商存在下列情况之一的，报价无效</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r>
        <w:rPr>
          <w:rFonts w:hint="eastAsia" w:ascii="宋体" w:hAnsi="宋体" w:cs="宋体"/>
          <w:highlight w:val="none"/>
        </w:rPr>
        <w:t>响应文件未按询价文件要求签署、盖章的；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不具备询价文件中规定的资格要求的；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r>
        <w:rPr>
          <w:rFonts w:hint="eastAsia" w:ascii="宋体" w:hAnsi="宋体" w:cs="宋体"/>
          <w:highlight w:val="none"/>
        </w:rPr>
        <w:t>报价超过询价文件中规定的预算金额或者最高限价的；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响应文件含有采购人不能接受的附加条件的；</w:t>
      </w:r>
    </w:p>
    <w:p>
      <w:pPr>
        <w:adjustRightInd w:val="0"/>
        <w:snapToGrid w:val="0"/>
        <w:spacing w:line="360" w:lineRule="auto"/>
        <w:ind w:firstLine="420" w:firstLineChars="200"/>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r>
        <w:rPr>
          <w:rFonts w:hint="eastAsia" w:ascii="宋体" w:hAnsi="宋体" w:cs="宋体"/>
          <w:highlight w:val="none"/>
        </w:rPr>
        <w:t>法律、法规和询价文件规定的其他无效情形。</w:t>
      </w:r>
    </w:p>
    <w:p>
      <w:pPr>
        <w:adjustRightInd w:val="0"/>
        <w:snapToGrid w:val="0"/>
        <w:spacing w:line="360" w:lineRule="auto"/>
        <w:ind w:firstLine="422" w:firstLineChars="200"/>
        <w:rPr>
          <w:rFonts w:ascii="宋体" w:hAnsi="Times New Roman" w:cs="宋体"/>
          <w:b/>
          <w:bCs/>
          <w:highlight w:val="none"/>
        </w:rPr>
      </w:pPr>
      <w:r>
        <w:rPr>
          <w:rFonts w:hint="eastAsia" w:ascii="宋体" w:hAnsi="宋体" w:cs="宋体"/>
          <w:b/>
          <w:bCs/>
          <w:highlight w:val="none"/>
        </w:rPr>
        <w:t>18.</w:t>
      </w:r>
      <w:r>
        <w:rPr>
          <w:rFonts w:ascii="宋体" w:hAnsi="宋体" w:cs="宋体"/>
          <w:b/>
          <w:bCs/>
          <w:highlight w:val="none"/>
        </w:rPr>
        <w:t>10</w:t>
      </w:r>
      <w:r>
        <w:rPr>
          <w:rFonts w:hint="eastAsia" w:ascii="宋体" w:hAnsi="宋体" w:cs="宋体"/>
          <w:b/>
          <w:bCs/>
          <w:highlight w:val="none"/>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highlight w:val="none"/>
        </w:rPr>
      </w:pPr>
      <w:bookmarkStart w:id="39" w:name="_Hlk42842654"/>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⑴</w:t>
      </w:r>
      <w:r>
        <w:rPr>
          <w:rFonts w:ascii="宋体" w:hAnsi="宋体" w:cs="宋体"/>
          <w:highlight w:val="none"/>
        </w:rPr>
        <w:fldChar w:fldCharType="end"/>
      </w:r>
      <w:bookmarkEnd w:id="39"/>
      <w:r>
        <w:rPr>
          <w:rFonts w:hint="eastAsia" w:ascii="宋体" w:hAnsi="宋体" w:cs="宋体"/>
          <w:highlight w:val="none"/>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2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⑵</w:t>
      </w:r>
      <w:r>
        <w:rPr>
          <w:rFonts w:ascii="宋体" w:hAnsi="宋体" w:cs="宋体"/>
          <w:highlight w:val="none"/>
        </w:rPr>
        <w:fldChar w:fldCharType="end"/>
      </w:r>
      <w:r>
        <w:rPr>
          <w:rFonts w:hint="eastAsia" w:ascii="宋体" w:hAnsi="宋体" w:cs="宋体"/>
          <w:highlight w:val="none"/>
        </w:rPr>
        <w:t>出现影响采购公正的违法、违规行为的；</w:t>
      </w:r>
    </w:p>
    <w:p>
      <w:pPr>
        <w:tabs>
          <w:tab w:val="left" w:pos="851"/>
        </w:tabs>
        <w:adjustRightInd w:val="0"/>
        <w:snapToGrid w:val="0"/>
        <w:spacing w:line="360" w:lineRule="auto"/>
        <w:ind w:firstLine="420" w:firstLineChars="200"/>
        <w:rPr>
          <w:rFonts w:ascii="宋体" w:hAnsi="Times New Roman" w:cs="宋体"/>
          <w:highlight w:val="none"/>
        </w:rPr>
      </w:pPr>
      <w:bookmarkStart w:id="40" w:name="_Hlk42842665"/>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3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⑶</w:t>
      </w:r>
      <w:r>
        <w:rPr>
          <w:rFonts w:ascii="宋体" w:hAnsi="宋体" w:cs="宋体"/>
          <w:highlight w:val="none"/>
        </w:rPr>
        <w:fldChar w:fldCharType="end"/>
      </w:r>
      <w:bookmarkEnd w:id="40"/>
      <w:r>
        <w:rPr>
          <w:rFonts w:hint="eastAsia" w:ascii="宋体" w:hAnsi="宋体" w:cs="宋体"/>
          <w:highlight w:val="none"/>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⑷</w:t>
      </w:r>
      <w:r>
        <w:rPr>
          <w:rFonts w:ascii="宋体" w:hAnsi="宋体" w:cs="宋体"/>
          <w:highlight w:val="none"/>
        </w:rPr>
        <w:fldChar w:fldCharType="end"/>
      </w:r>
      <w:r>
        <w:rPr>
          <w:rFonts w:hint="eastAsia" w:ascii="宋体" w:hAnsi="宋体" w:cs="宋体"/>
          <w:highlight w:val="none"/>
        </w:rPr>
        <w:t>因重大变故，采购任务取消的。</w:t>
      </w:r>
    </w:p>
    <w:p>
      <w:pPr>
        <w:tabs>
          <w:tab w:val="left" w:pos="851"/>
        </w:tabs>
        <w:adjustRightInd w:val="0"/>
        <w:snapToGrid w:val="0"/>
        <w:spacing w:line="360" w:lineRule="auto"/>
        <w:ind w:firstLine="420" w:firstLineChars="200"/>
        <w:rPr>
          <w:rFonts w:ascii="宋体" w:hAnsi="Times New Roman" w:cs="宋体"/>
          <w:highlight w:val="none"/>
        </w:rPr>
      </w:pPr>
      <w:bookmarkStart w:id="41" w:name="_Hlk42842680"/>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5 \* GB2</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⑸</w:t>
      </w:r>
      <w:r>
        <w:rPr>
          <w:rFonts w:ascii="宋体" w:hAnsi="宋体" w:cs="宋体"/>
          <w:highlight w:val="none"/>
        </w:rPr>
        <w:fldChar w:fldCharType="end"/>
      </w:r>
      <w:bookmarkEnd w:id="41"/>
      <w:r>
        <w:rPr>
          <w:rFonts w:hint="eastAsia" w:ascii="宋体" w:hAnsi="宋体" w:cs="宋体"/>
          <w:highlight w:val="none"/>
        </w:rPr>
        <w:t>响应文件未完全满足询价文件的实质性条款（即标注</w:t>
      </w:r>
      <w:r>
        <w:rPr>
          <w:rFonts w:hint="eastAsia" w:ascii="宋体" w:hAnsi="宋体" w:cs="宋体"/>
          <w:highlight w:val="none"/>
          <w:lang w:eastAsia="zh-CN"/>
        </w:rPr>
        <w:t>▲</w:t>
      </w:r>
      <w:r>
        <w:rPr>
          <w:rFonts w:hint="eastAsia" w:ascii="宋体" w:hAnsi="宋体" w:cs="宋体"/>
          <w:highlight w:val="none"/>
        </w:rPr>
        <w:t>号条款）无负偏离的。</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19.评定成交的评审方法和标准</w:t>
      </w:r>
    </w:p>
    <w:p>
      <w:pPr>
        <w:adjustRightInd w:val="0"/>
        <w:snapToGrid w:val="0"/>
        <w:spacing w:line="360" w:lineRule="auto"/>
        <w:ind w:firstLine="420" w:firstLineChars="200"/>
        <w:rPr>
          <w:rFonts w:ascii="宋体" w:hAnsi="Times New Roman" w:cs="宋体"/>
          <w:b/>
          <w:color w:val="FF0000"/>
          <w:highlight w:val="none"/>
        </w:rPr>
      </w:pPr>
      <w:r>
        <w:rPr>
          <w:rFonts w:hint="eastAsia" w:ascii="宋体" w:hAnsi="宋体" w:cs="宋体"/>
          <w:highlight w:val="none"/>
        </w:rPr>
        <w:t>19.1本项目采用最低评标价法确定成交供应商，即在质量和服务均能满足询价文件实质性响应要求前提下，提出最低报价（</w:t>
      </w:r>
      <w:r>
        <w:rPr>
          <w:rFonts w:hint="eastAsia" w:ascii="宋体" w:hAnsi="宋体" w:cs="宋体"/>
          <w:highlight w:val="none"/>
          <w:lang w:eastAsia="zh-TW"/>
        </w:rPr>
        <w:t>指修正及价格扣除后的</w:t>
      </w:r>
      <w:r>
        <w:rPr>
          <w:rFonts w:hint="eastAsia" w:ascii="宋体" w:hAnsi="宋体" w:cs="宋体"/>
          <w:highlight w:val="none"/>
        </w:rPr>
        <w:t>价格，即评标</w:t>
      </w:r>
      <w:r>
        <w:rPr>
          <w:rFonts w:hint="eastAsia" w:ascii="宋体" w:hAnsi="宋体" w:cs="宋体"/>
          <w:highlight w:val="none"/>
          <w:lang w:eastAsia="zh-TW"/>
        </w:rPr>
        <w:t>价</w:t>
      </w:r>
      <w:r>
        <w:rPr>
          <w:rFonts w:hint="eastAsia" w:ascii="宋体" w:hAnsi="宋体" w:cs="宋体"/>
          <w:highlight w:val="none"/>
        </w:rPr>
        <w:t>）的供应商作为成交供应商。按照最后报</w:t>
      </w:r>
      <w:r>
        <w:rPr>
          <w:rFonts w:hint="eastAsia" w:ascii="宋体" w:hAnsi="宋体" w:cs="宋体"/>
          <w:highlight w:val="none"/>
          <w:lang w:eastAsia="zh-TW"/>
        </w:rPr>
        <w:t>价</w:t>
      </w:r>
      <w:r>
        <w:rPr>
          <w:rFonts w:hint="eastAsia" w:ascii="宋体" w:hAnsi="宋体" w:cs="宋体"/>
          <w:highlight w:val="none"/>
        </w:rPr>
        <w:t>由低到高顺序推荐三名成交候选人。</w:t>
      </w:r>
    </w:p>
    <w:p>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19.3</w:t>
      </w:r>
      <w:r>
        <w:rPr>
          <w:rFonts w:hint="eastAsia" w:ascii="宋体" w:hAnsi="宋体" w:cs="宋体"/>
          <w:color w:val="000000"/>
          <w:highlight w:val="none"/>
        </w:rPr>
        <w:t>评审价相同的，按下列顺序比较确定：</w:t>
      </w:r>
      <w:r>
        <w:rPr>
          <w:rFonts w:hint="eastAsia" w:ascii="宋体" w:hAnsi="宋体" w:cs="宋体"/>
          <w:highlight w:val="none"/>
        </w:rPr>
        <w:t>（1）节能产品；（2）环保产品；如以上都相同的，名次由评标委员会抽签确定。</w:t>
      </w:r>
      <w:r>
        <w:rPr>
          <w:rFonts w:hint="eastAsia" w:ascii="宋体" w:hAnsi="宋体" w:cs="宋体"/>
          <w:highlight w:val="none"/>
          <w:lang w:eastAsia="zh-TW"/>
        </w:rPr>
        <w:t>评标委员会认为，排在前面的</w:t>
      </w:r>
      <w:r>
        <w:rPr>
          <w:rFonts w:hint="eastAsia" w:ascii="宋体" w:hAnsi="宋体" w:cs="宋体"/>
          <w:highlight w:val="none"/>
        </w:rPr>
        <w:t>成交</w:t>
      </w:r>
      <w:r>
        <w:rPr>
          <w:rFonts w:hint="eastAsia" w:ascii="宋体" w:hAnsi="宋体" w:cs="宋体"/>
          <w:highlight w:val="none"/>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highlight w:val="none"/>
        </w:rPr>
        <w:t>，</w:t>
      </w:r>
      <w:r>
        <w:rPr>
          <w:rFonts w:hint="eastAsia" w:ascii="宋体" w:hAnsi="宋体" w:cs="宋体"/>
          <w:highlight w:val="none"/>
          <w:lang w:eastAsia="zh-TW"/>
        </w:rPr>
        <w:t>否则评标委员会可以取消该供应商的</w:t>
      </w:r>
      <w:r>
        <w:rPr>
          <w:rFonts w:hint="eastAsia" w:ascii="宋体" w:hAnsi="宋体" w:cs="宋体"/>
          <w:highlight w:val="none"/>
        </w:rPr>
        <w:t>成交</w:t>
      </w:r>
      <w:r>
        <w:rPr>
          <w:rFonts w:hint="eastAsia" w:ascii="宋体" w:hAnsi="宋体" w:cs="宋体"/>
          <w:highlight w:val="none"/>
          <w:lang w:eastAsia="zh-TW"/>
        </w:rPr>
        <w:t>候选资格，按顺序由排在后面的</w:t>
      </w:r>
      <w:r>
        <w:rPr>
          <w:rFonts w:hint="eastAsia" w:ascii="宋体" w:hAnsi="宋体" w:cs="宋体"/>
          <w:highlight w:val="none"/>
        </w:rPr>
        <w:t>成交</w:t>
      </w:r>
      <w:r>
        <w:rPr>
          <w:rFonts w:hint="eastAsia" w:ascii="宋体" w:hAnsi="宋体" w:cs="宋体"/>
          <w:highlight w:val="none"/>
          <w:lang w:eastAsia="zh-TW"/>
        </w:rPr>
        <w:t>候选人递补，以此类推。</w:t>
      </w:r>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20.确定成交结果</w:t>
      </w:r>
    </w:p>
    <w:p>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20.1成交供应商确定后，采购人将在</w:t>
      </w:r>
      <w:r>
        <w:rPr>
          <w:rFonts w:hint="eastAsia" w:ascii="宋体" w:hAnsi="宋体" w:cs="宋体"/>
          <w:highlight w:val="none"/>
          <w:u w:val="single"/>
        </w:rPr>
        <w:t>南宁市人力资源和社会保障局网站及广西南宁技师学院网站</w:t>
      </w:r>
      <w:r>
        <w:rPr>
          <w:rFonts w:hint="eastAsia" w:ascii="宋体" w:hAnsi="宋体" w:cs="宋体"/>
          <w:highlight w:val="none"/>
        </w:rPr>
        <w:t>上发布成交结果公告。</w:t>
      </w:r>
    </w:p>
    <w:p>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highlight w:val="none"/>
        </w:rPr>
        <w:t>，</w:t>
      </w:r>
      <w:r>
        <w:rPr>
          <w:rFonts w:hint="eastAsia" w:ascii="宋体" w:hAnsi="宋体" w:cs="宋体"/>
          <w:highlight w:val="none"/>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highlight w:val="none"/>
        </w:rPr>
      </w:pPr>
      <w:bookmarkStart w:id="42" w:name="_Toc433127783"/>
      <w:bookmarkStart w:id="43" w:name="_Toc31343"/>
      <w:r>
        <w:rPr>
          <w:rFonts w:hint="eastAsia" w:ascii="宋体" w:hAnsi="宋体" w:cs="宋体"/>
          <w:b/>
          <w:highlight w:val="none"/>
        </w:rPr>
        <w:t>21.询问、质疑、投诉</w:t>
      </w:r>
      <w:bookmarkEnd w:id="42"/>
      <w:bookmarkEnd w:id="43"/>
    </w:p>
    <w:p>
      <w:pPr>
        <w:autoSpaceDE w:val="0"/>
        <w:autoSpaceDN w:val="0"/>
        <w:adjustRightInd w:val="0"/>
        <w:snapToGrid w:val="0"/>
        <w:spacing w:line="360" w:lineRule="auto"/>
        <w:ind w:firstLine="413" w:firstLineChars="196"/>
        <w:outlineLvl w:val="0"/>
        <w:rPr>
          <w:rFonts w:ascii="宋体" w:hAnsi="Times New Roman" w:cs="宋体"/>
          <w:b/>
          <w:highlight w:val="none"/>
        </w:rPr>
      </w:pPr>
      <w:bookmarkStart w:id="44" w:name="_Toc1886"/>
      <w:r>
        <w:rPr>
          <w:rFonts w:hint="eastAsia" w:ascii="宋体" w:hAnsi="宋体" w:cs="宋体"/>
          <w:b/>
          <w:highlight w:val="none"/>
        </w:rPr>
        <w:t>21.1询问</w:t>
      </w:r>
      <w:bookmarkEnd w:id="44"/>
    </w:p>
    <w:p>
      <w:pPr>
        <w:autoSpaceDE w:val="0"/>
        <w:autoSpaceDN w:val="0"/>
        <w:adjustRightInd w:val="0"/>
        <w:snapToGrid w:val="0"/>
        <w:spacing w:line="360" w:lineRule="auto"/>
        <w:ind w:firstLine="411" w:firstLineChars="196"/>
        <w:outlineLvl w:val="0"/>
        <w:rPr>
          <w:rFonts w:ascii="宋体" w:hAnsi="Times New Roman" w:cs="宋体"/>
          <w:b/>
          <w:highlight w:val="none"/>
        </w:rPr>
      </w:pPr>
      <w:bookmarkStart w:id="45" w:name="_Toc5581"/>
      <w:r>
        <w:rPr>
          <w:rFonts w:hint="eastAsia" w:ascii="宋体" w:hAnsi="宋体" w:cs="宋体"/>
          <w:highlight w:val="none"/>
        </w:rPr>
        <w:t>21.1.1供应商对采购活动事项有疑问的，可以向采购单位提出询问，询问可以口头方式提出，也可以书面方式提出。</w:t>
      </w:r>
      <w:bookmarkEnd w:id="45"/>
    </w:p>
    <w:p>
      <w:pPr>
        <w:tabs>
          <w:tab w:val="left" w:pos="993"/>
        </w:tabs>
        <w:autoSpaceDE w:val="0"/>
        <w:autoSpaceDN w:val="0"/>
        <w:adjustRightInd w:val="0"/>
        <w:snapToGrid w:val="0"/>
        <w:spacing w:line="360" w:lineRule="auto"/>
        <w:ind w:firstLine="420" w:firstLineChars="200"/>
        <w:rPr>
          <w:rFonts w:ascii="宋体" w:hAnsi="Times New Roman" w:cs="宋体"/>
          <w:highlight w:val="none"/>
        </w:rPr>
      </w:pPr>
      <w:r>
        <w:rPr>
          <w:rFonts w:hint="eastAsia" w:ascii="宋体" w:hAnsi="宋体" w:cs="宋体"/>
          <w:highlight w:val="none"/>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highlight w:val="none"/>
        </w:rPr>
      </w:pPr>
      <w:bookmarkStart w:id="46" w:name="_Toc29058"/>
      <w:r>
        <w:rPr>
          <w:rFonts w:hint="eastAsia" w:ascii="宋体" w:hAnsi="宋体" w:cs="宋体"/>
          <w:b/>
          <w:highlight w:val="none"/>
        </w:rPr>
        <w:t>21.2质疑</w:t>
      </w:r>
      <w:bookmarkEnd w:id="46"/>
    </w:p>
    <w:p>
      <w:pPr>
        <w:autoSpaceDE w:val="0"/>
        <w:autoSpaceDN w:val="0"/>
        <w:adjustRightInd w:val="0"/>
        <w:snapToGrid w:val="0"/>
        <w:spacing w:line="360" w:lineRule="auto"/>
        <w:ind w:firstLine="411" w:firstLineChars="196"/>
        <w:outlineLvl w:val="0"/>
        <w:rPr>
          <w:rFonts w:ascii="宋体" w:hAnsi="宋体" w:cs="宋体"/>
          <w:highlight w:val="none"/>
        </w:rPr>
      </w:pPr>
      <w:bookmarkStart w:id="47" w:name="_Toc5451"/>
      <w:r>
        <w:rPr>
          <w:rFonts w:hint="eastAsia" w:ascii="宋体" w:hAnsi="宋体" w:cs="宋体"/>
          <w:highlight w:val="none"/>
        </w:rPr>
        <w:t>21.2.1质疑期限：</w:t>
      </w:r>
      <w:bookmarkEnd w:id="47"/>
    </w:p>
    <w:p>
      <w:pPr>
        <w:autoSpaceDE w:val="0"/>
        <w:autoSpaceDN w:val="0"/>
        <w:adjustRightInd w:val="0"/>
        <w:snapToGrid w:val="0"/>
        <w:spacing w:line="360" w:lineRule="auto"/>
        <w:ind w:firstLine="411" w:firstLineChars="196"/>
        <w:outlineLvl w:val="0"/>
        <w:rPr>
          <w:rFonts w:ascii="宋体" w:hAnsi="宋体" w:cs="宋体"/>
          <w:highlight w:val="none"/>
        </w:rPr>
      </w:pPr>
      <w:bookmarkStart w:id="48" w:name="_Toc24930"/>
      <w:r>
        <w:rPr>
          <w:rFonts w:hint="eastAsia" w:ascii="宋体" w:hAnsi="宋体" w:cs="宋体"/>
          <w:highlight w:val="none"/>
        </w:rPr>
        <w:t>21.2.1.1供应商认为采购文件的内容损害其权益的，应在收到采购文件之日或者采购文件公告期届满之日起七个工作日内。</w:t>
      </w:r>
      <w:bookmarkEnd w:id="48"/>
    </w:p>
    <w:p>
      <w:pPr>
        <w:autoSpaceDE w:val="0"/>
        <w:autoSpaceDN w:val="0"/>
        <w:adjustRightInd w:val="0"/>
        <w:snapToGrid w:val="0"/>
        <w:spacing w:line="360" w:lineRule="auto"/>
        <w:ind w:firstLine="411" w:firstLineChars="196"/>
        <w:outlineLvl w:val="0"/>
        <w:rPr>
          <w:rFonts w:ascii="宋体" w:hAnsi="宋体" w:cs="宋体"/>
          <w:highlight w:val="none"/>
        </w:rPr>
      </w:pPr>
      <w:bookmarkStart w:id="49" w:name="_Toc561"/>
      <w:r>
        <w:rPr>
          <w:rFonts w:hint="eastAsia" w:ascii="宋体" w:hAnsi="宋体" w:cs="宋体"/>
          <w:highlight w:val="none"/>
        </w:rPr>
        <w:t>21.2.1.2供应商认为采购过程损害其权益的，应在各采购程序环节结束之日起七个工作日内。</w:t>
      </w:r>
      <w:bookmarkEnd w:id="49"/>
    </w:p>
    <w:p>
      <w:pPr>
        <w:autoSpaceDE w:val="0"/>
        <w:autoSpaceDN w:val="0"/>
        <w:adjustRightInd w:val="0"/>
        <w:snapToGrid w:val="0"/>
        <w:spacing w:line="360" w:lineRule="auto"/>
        <w:ind w:firstLine="411" w:firstLineChars="196"/>
        <w:outlineLvl w:val="0"/>
        <w:rPr>
          <w:rFonts w:ascii="宋体" w:hAnsi="宋体" w:cs="宋体"/>
          <w:highlight w:val="none"/>
        </w:rPr>
      </w:pPr>
      <w:bookmarkStart w:id="50" w:name="_Toc20026"/>
      <w:r>
        <w:rPr>
          <w:rFonts w:hint="eastAsia" w:ascii="宋体" w:hAnsi="宋体" w:cs="宋体"/>
          <w:highlight w:val="none"/>
        </w:rPr>
        <w:t>21.2.1.3 供应商认为中标或者成交结果损害其权益的，应在中标或者成交结果公告期限届满之日起七个工作日内。</w:t>
      </w:r>
      <w:bookmarkEnd w:id="50"/>
    </w:p>
    <w:p>
      <w:pPr>
        <w:autoSpaceDE w:val="0"/>
        <w:autoSpaceDN w:val="0"/>
        <w:adjustRightInd w:val="0"/>
        <w:snapToGrid w:val="0"/>
        <w:spacing w:line="360" w:lineRule="auto"/>
        <w:ind w:firstLine="411" w:firstLineChars="196"/>
        <w:outlineLvl w:val="0"/>
        <w:rPr>
          <w:rFonts w:ascii="宋体" w:hAnsi="宋体" w:cs="宋体"/>
          <w:highlight w:val="none"/>
        </w:rPr>
      </w:pPr>
      <w:bookmarkStart w:id="51" w:name="_Toc26033"/>
      <w:r>
        <w:rPr>
          <w:rFonts w:hint="eastAsia" w:ascii="宋体" w:hAnsi="宋体" w:cs="宋体"/>
          <w:highlight w:val="none"/>
        </w:rPr>
        <w:t>21.2.2提交要求：</w:t>
      </w:r>
      <w:bookmarkEnd w:id="51"/>
    </w:p>
    <w:p>
      <w:pPr>
        <w:autoSpaceDE w:val="0"/>
        <w:autoSpaceDN w:val="0"/>
        <w:adjustRightInd w:val="0"/>
        <w:snapToGrid w:val="0"/>
        <w:spacing w:line="360" w:lineRule="auto"/>
        <w:ind w:firstLine="411" w:firstLineChars="196"/>
        <w:outlineLvl w:val="0"/>
        <w:rPr>
          <w:rFonts w:ascii="宋体" w:hAnsi="宋体" w:cs="宋体"/>
          <w:highlight w:val="none"/>
        </w:rPr>
      </w:pPr>
      <w:bookmarkStart w:id="52" w:name="_Toc22473"/>
      <w:r>
        <w:rPr>
          <w:rFonts w:hint="eastAsia" w:ascii="宋体" w:hAnsi="宋体" w:cs="宋体"/>
          <w:highlight w:val="none"/>
        </w:rPr>
        <w:t>21.2.2.1 以书面形式（加盖供应商公章）向采购人提出质疑，供应商以电话、传真或电邮形式提交的质疑属于无效质疑。</w:t>
      </w:r>
      <w:bookmarkEnd w:id="52"/>
    </w:p>
    <w:p>
      <w:pPr>
        <w:autoSpaceDE w:val="0"/>
        <w:autoSpaceDN w:val="0"/>
        <w:adjustRightInd w:val="0"/>
        <w:snapToGrid w:val="0"/>
        <w:spacing w:line="360" w:lineRule="auto"/>
        <w:ind w:firstLine="411" w:firstLineChars="196"/>
        <w:outlineLvl w:val="0"/>
        <w:rPr>
          <w:rFonts w:ascii="宋体" w:hAnsi="宋体" w:cs="宋体"/>
          <w:highlight w:val="none"/>
        </w:rPr>
      </w:pPr>
      <w:bookmarkStart w:id="53" w:name="_Toc5754"/>
      <w:r>
        <w:rPr>
          <w:rFonts w:hint="eastAsia" w:ascii="宋体" w:hAnsi="宋体" w:cs="宋体"/>
          <w:highlight w:val="none"/>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3"/>
    </w:p>
    <w:p>
      <w:pPr>
        <w:autoSpaceDE w:val="0"/>
        <w:autoSpaceDN w:val="0"/>
        <w:adjustRightInd w:val="0"/>
        <w:snapToGrid w:val="0"/>
        <w:spacing w:line="360" w:lineRule="auto"/>
        <w:ind w:firstLine="411" w:firstLineChars="196"/>
        <w:outlineLvl w:val="0"/>
        <w:rPr>
          <w:rFonts w:ascii="宋体" w:hAnsi="宋体" w:cs="宋体"/>
          <w:highlight w:val="none"/>
        </w:rPr>
      </w:pPr>
      <w:bookmarkStart w:id="54" w:name="_Toc8235"/>
      <w:r>
        <w:rPr>
          <w:rFonts w:hint="eastAsia" w:ascii="宋体" w:hAnsi="宋体" w:cs="宋体"/>
          <w:highlight w:val="none"/>
        </w:rPr>
        <w:t>21.2.2.3 供应商质疑应当有明确的请求和必要的证明材料，捏造事实、提供虚假材料或者以非法手段取得证明材料不能作为质疑的证明材料。</w:t>
      </w:r>
      <w:r>
        <w:rPr>
          <w:rFonts w:hint="eastAsia" w:ascii="宋体" w:hAnsi="宋体" w:cs="宋体"/>
          <w:highlight w:val="none"/>
        </w:rPr>
        <w:br w:type="textWrapping"/>
      </w:r>
      <w:r>
        <w:rPr>
          <w:rFonts w:hint="eastAsia" w:ascii="宋体" w:hAnsi="宋体" w:cs="宋体"/>
          <w:highlight w:val="none"/>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4"/>
    </w:p>
    <w:p>
      <w:pPr>
        <w:autoSpaceDE w:val="0"/>
        <w:autoSpaceDN w:val="0"/>
        <w:adjustRightInd w:val="0"/>
        <w:snapToGrid w:val="0"/>
        <w:spacing w:line="360" w:lineRule="auto"/>
        <w:ind w:firstLine="411" w:firstLineChars="196"/>
        <w:outlineLvl w:val="0"/>
        <w:rPr>
          <w:rFonts w:ascii="宋体" w:hAnsi="宋体" w:cs="宋体"/>
          <w:highlight w:val="none"/>
        </w:rPr>
      </w:pPr>
      <w:bookmarkStart w:id="55" w:name="_Toc25532"/>
      <w:r>
        <w:rPr>
          <w:rFonts w:hint="eastAsia" w:ascii="宋体" w:hAnsi="宋体" w:cs="宋体"/>
          <w:highlight w:val="none"/>
        </w:rPr>
        <w:t>21.2.3 对于捏造事实、滥用维权扰乱采购秩序的恶意质疑者或举证不全查无实据被驳回次数在一年内达三次以上，将纳入不良行为记录名单并承担相应的法律责任。</w:t>
      </w:r>
      <w:bookmarkEnd w:id="55"/>
    </w:p>
    <w:p>
      <w:pPr>
        <w:tabs>
          <w:tab w:val="left" w:pos="1272"/>
        </w:tabs>
        <w:spacing w:line="360" w:lineRule="auto"/>
        <w:ind w:firstLine="413" w:firstLineChars="196"/>
        <w:rPr>
          <w:rFonts w:ascii="宋体" w:hAnsi="Times New Roman" w:cs="宋体"/>
          <w:b/>
          <w:color w:val="000000"/>
          <w:highlight w:val="none"/>
        </w:rPr>
      </w:pPr>
      <w:r>
        <w:rPr>
          <w:rFonts w:hint="eastAsia" w:ascii="宋体" w:hAnsi="宋体" w:cs="宋体"/>
          <w:b/>
          <w:color w:val="000000"/>
          <w:highlight w:val="none"/>
        </w:rPr>
        <w:t>21.3投诉</w:t>
      </w:r>
    </w:p>
    <w:p>
      <w:pPr>
        <w:tabs>
          <w:tab w:val="left" w:pos="1272"/>
        </w:tabs>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highlight w:val="none"/>
        </w:rPr>
      </w:pPr>
    </w:p>
    <w:p>
      <w:pPr>
        <w:pStyle w:val="3"/>
        <w:adjustRightInd w:val="0"/>
        <w:snapToGrid w:val="0"/>
        <w:spacing w:line="360" w:lineRule="auto"/>
        <w:jc w:val="center"/>
        <w:rPr>
          <w:sz w:val="30"/>
          <w:szCs w:val="30"/>
          <w:highlight w:val="none"/>
        </w:rPr>
      </w:pPr>
      <w:bookmarkStart w:id="56" w:name="_Toc454458058"/>
      <w:bookmarkStart w:id="57" w:name="_Toc448133314"/>
      <w:bookmarkStart w:id="58" w:name="_Toc8524"/>
      <w:bookmarkStart w:id="59" w:name="_Toc453493037"/>
      <w:r>
        <w:rPr>
          <w:rFonts w:hint="eastAsia" w:cs="宋体"/>
          <w:sz w:val="30"/>
          <w:szCs w:val="30"/>
          <w:highlight w:val="none"/>
        </w:rPr>
        <w:t>六、授予合同</w:t>
      </w:r>
      <w:bookmarkEnd w:id="56"/>
      <w:bookmarkEnd w:id="57"/>
      <w:bookmarkEnd w:id="58"/>
      <w:bookmarkEnd w:id="59"/>
    </w:p>
    <w:p>
      <w:pPr>
        <w:adjustRightInd w:val="0"/>
        <w:snapToGrid w:val="0"/>
        <w:spacing w:line="360" w:lineRule="auto"/>
        <w:ind w:firstLine="413" w:firstLineChars="196"/>
        <w:outlineLvl w:val="2"/>
        <w:rPr>
          <w:rFonts w:ascii="宋体" w:hAnsi="Times New Roman" w:cs="宋体"/>
          <w:b/>
          <w:highlight w:val="none"/>
        </w:rPr>
      </w:pPr>
      <w:r>
        <w:rPr>
          <w:rFonts w:hint="eastAsia" w:ascii="宋体" w:hAnsi="宋体" w:cs="宋体"/>
          <w:b/>
          <w:highlight w:val="none"/>
        </w:rPr>
        <w:t>22.合同的订立</w:t>
      </w:r>
    </w:p>
    <w:p>
      <w:pPr>
        <w:adjustRightInd w:val="0"/>
        <w:snapToGrid w:val="0"/>
        <w:spacing w:line="360" w:lineRule="auto"/>
        <w:ind w:firstLine="411" w:firstLineChars="196"/>
        <w:outlineLvl w:val="2"/>
        <w:rPr>
          <w:rFonts w:ascii="宋体" w:hAnsi="Times New Roman" w:cs="宋体"/>
          <w:b/>
          <w:highlight w:val="none"/>
        </w:rPr>
      </w:pPr>
      <w:r>
        <w:rPr>
          <w:rFonts w:hint="eastAsia" w:ascii="宋体" w:hAnsi="宋体" w:cs="宋体"/>
          <w:highlight w:val="none"/>
          <w:lang w:eastAsia="zh-TW"/>
        </w:rPr>
        <w:t>采购人</w:t>
      </w:r>
      <w:r>
        <w:rPr>
          <w:rFonts w:hint="eastAsia" w:ascii="宋体" w:hAnsi="宋体" w:cs="宋体"/>
          <w:highlight w:val="none"/>
        </w:rPr>
        <w:t>应当</w:t>
      </w:r>
      <w:r>
        <w:rPr>
          <w:rFonts w:hint="eastAsia" w:ascii="宋体" w:hAnsi="宋体" w:cs="宋体"/>
          <w:highlight w:val="none"/>
          <w:lang w:eastAsia="zh-TW"/>
        </w:rPr>
        <w:t>自成交通知书发出之日起三十日内签订采购合同，但不得超出询价文件和成交供应商响应文件的范围、</w:t>
      </w:r>
      <w:r>
        <w:rPr>
          <w:rFonts w:hint="eastAsia" w:ascii="宋体" w:hAnsi="宋体" w:cs="宋体"/>
          <w:highlight w:val="none"/>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highlight w:val="none"/>
        </w:rPr>
      </w:pPr>
      <w:bookmarkStart w:id="60" w:name="_Toc378586990"/>
      <w:r>
        <w:rPr>
          <w:rFonts w:hint="eastAsia" w:ascii="宋体" w:hAnsi="宋体" w:cs="宋体"/>
          <w:b/>
          <w:highlight w:val="none"/>
        </w:rPr>
        <w:t>23.合同的履行</w:t>
      </w:r>
      <w:bookmarkEnd w:id="60"/>
    </w:p>
    <w:p>
      <w:pPr>
        <w:autoSpaceDE w:val="0"/>
        <w:autoSpaceDN w:val="0"/>
        <w:adjustRightInd w:val="0"/>
        <w:snapToGrid w:val="0"/>
        <w:spacing w:line="360" w:lineRule="auto"/>
        <w:ind w:firstLine="420" w:firstLineChars="200"/>
        <w:jc w:val="left"/>
        <w:rPr>
          <w:rFonts w:ascii="宋体" w:hAnsi="Times New Roman" w:cs="宋体"/>
          <w:highlight w:val="none"/>
        </w:rPr>
      </w:pPr>
      <w:r>
        <w:rPr>
          <w:rFonts w:hint="eastAsia" w:ascii="宋体" w:hAnsi="宋体" w:cs="宋体"/>
          <w:highlight w:val="none"/>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highlight w:val="none"/>
        </w:rPr>
        <w:sectPr>
          <w:pgSz w:w="11906" w:h="16838"/>
          <w:pgMar w:top="1440" w:right="1800" w:bottom="1440" w:left="1800" w:header="851" w:footer="992" w:gutter="0"/>
          <w:cols w:space="425" w:num="1"/>
          <w:docGrid w:type="lines" w:linePitch="312" w:charSpace="0"/>
        </w:sectPr>
      </w:pPr>
    </w:p>
    <w:p>
      <w:pPr>
        <w:spacing w:line="360" w:lineRule="auto"/>
        <w:rPr>
          <w:rFonts w:cs="Times New Roman"/>
          <w:b/>
          <w:bCs/>
          <w:highlight w:val="none"/>
        </w:rPr>
      </w:pPr>
      <w:r>
        <w:rPr>
          <w:rFonts w:ascii="宋体" w:hAnsi="宋体" w:cs="宋体"/>
          <w:b/>
          <w:bCs/>
          <w:sz w:val="48"/>
          <w:szCs w:val="48"/>
          <w:highlight w:val="none"/>
        </w:rPr>
        <w:tab/>
      </w:r>
      <w:r>
        <w:rPr>
          <w:rFonts w:hint="eastAsia" w:cs="宋体"/>
          <w:b/>
          <w:bCs/>
          <w:highlight w:val="none"/>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highlight w:val="none"/>
        </w:rPr>
      </w:pPr>
      <w:r>
        <w:rPr>
          <w:rFonts w:ascii="宋体" w:hAnsi="宋体" w:cs="宋体"/>
          <w:b/>
          <w:bCs/>
          <w:sz w:val="48"/>
          <w:szCs w:val="48"/>
          <w:highlight w:val="none"/>
        </w:rPr>
        <w:tab/>
      </w:r>
      <w:r>
        <w:rPr>
          <w:rFonts w:hint="eastAsia" w:ascii="宋体" w:hAnsi="宋体" w:cs="宋体"/>
          <w:b/>
          <w:bCs/>
          <w:sz w:val="48"/>
          <w:szCs w:val="48"/>
          <w:highlight w:val="none"/>
        </w:rPr>
        <w:t>广西南宁技师学院</w:t>
      </w:r>
    </w:p>
    <w:p>
      <w:pPr>
        <w:spacing w:after="312" w:afterLines="100"/>
        <w:jc w:val="center"/>
        <w:rPr>
          <w:rFonts w:ascii="宋体" w:cs="宋体"/>
          <w:sz w:val="36"/>
          <w:szCs w:val="36"/>
          <w:highlight w:val="none"/>
        </w:rPr>
      </w:pPr>
      <w:r>
        <w:rPr>
          <w:rFonts w:hint="eastAsia" w:ascii="宋体" w:hAnsi="宋体" w:cs="宋体"/>
          <w:sz w:val="36"/>
          <w:szCs w:val="36"/>
          <w:highlight w:val="none"/>
        </w:rPr>
        <w:t>资格性及符合性审查表</w:t>
      </w:r>
    </w:p>
    <w:p>
      <w:pPr>
        <w:spacing w:after="156" w:afterLines="50" w:line="400" w:lineRule="exact"/>
        <w:rPr>
          <w:rFonts w:ascii="宋体" w:cs="宋体"/>
          <w:b/>
          <w:bCs/>
          <w:kern w:val="0"/>
          <w:sz w:val="24"/>
          <w:szCs w:val="24"/>
          <w:highlight w:val="none"/>
        </w:rPr>
      </w:pPr>
      <w:r>
        <w:rPr>
          <w:rFonts w:hint="eastAsia" w:cs="宋体"/>
          <w:b/>
          <w:bCs/>
          <w:sz w:val="24"/>
          <w:szCs w:val="24"/>
          <w:highlight w:val="none"/>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highlight w:val="none"/>
              </w:rPr>
            </w:pPr>
            <w:r>
              <w:rPr>
                <w:rFonts w:hint="eastAsia" w:ascii="宋体" w:hAnsi="宋体" w:cs="宋体"/>
                <w:spacing w:val="-12"/>
                <w:highlight w:val="none"/>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highlight w:val="none"/>
              </w:rPr>
            </w:pPr>
            <w:r>
              <w:rPr>
                <w:rFonts w:hint="eastAsia" w:ascii="宋体" w:hAnsi="宋体" w:cs="宋体"/>
                <w:highlight w:val="none"/>
              </w:rPr>
              <w:t>检查项目</w:t>
            </w:r>
          </w:p>
          <w:p>
            <w:pPr>
              <w:rPr>
                <w:rFonts w:ascii="宋体" w:cs="宋体"/>
                <w:spacing w:val="-12"/>
                <w:highlight w:val="none"/>
              </w:rPr>
            </w:pPr>
            <w:r>
              <w:rPr>
                <w:rFonts w:hint="eastAsia" w:ascii="宋体" w:hAnsi="宋体" w:cs="宋体"/>
                <w:highlight w:val="none"/>
              </w:rPr>
              <w:t>供应商名称</w:t>
            </w:r>
          </w:p>
        </w:tc>
        <w:tc>
          <w:tcPr>
            <w:tcW w:w="1303" w:type="dxa"/>
            <w:shd w:val="clear" w:color="auto" w:fill="D9D9D9"/>
            <w:vAlign w:val="center"/>
          </w:tcPr>
          <w:p>
            <w:pPr>
              <w:jc w:val="center"/>
              <w:rPr>
                <w:rFonts w:ascii="宋体" w:cs="宋体"/>
                <w:highlight w:val="none"/>
              </w:rPr>
            </w:pPr>
            <w:r>
              <w:rPr>
                <w:rFonts w:hint="eastAsia" w:ascii="宋体" w:hAnsi="宋体" w:cs="宋体"/>
                <w:highlight w:val="none"/>
              </w:rPr>
              <w:t>资格性审查</w:t>
            </w:r>
          </w:p>
        </w:tc>
        <w:tc>
          <w:tcPr>
            <w:tcW w:w="9497" w:type="dxa"/>
            <w:gridSpan w:val="7"/>
            <w:shd w:val="clear" w:color="auto" w:fill="D9D9D9"/>
            <w:vAlign w:val="center"/>
          </w:tcPr>
          <w:p>
            <w:pPr>
              <w:jc w:val="center"/>
              <w:rPr>
                <w:rFonts w:ascii="宋体" w:cs="宋体"/>
                <w:highlight w:val="none"/>
              </w:rPr>
            </w:pPr>
            <w:r>
              <w:rPr>
                <w:rFonts w:hint="eastAsia" w:ascii="宋体" w:hAnsi="宋体" w:cs="宋体"/>
                <w:highlight w:val="none"/>
              </w:rPr>
              <w:t>符合性审查</w:t>
            </w:r>
          </w:p>
        </w:tc>
        <w:tc>
          <w:tcPr>
            <w:tcW w:w="851" w:type="dxa"/>
            <w:vMerge w:val="restart"/>
            <w:shd w:val="clear" w:color="auto" w:fill="D9D9D9"/>
            <w:vAlign w:val="center"/>
          </w:tcPr>
          <w:p>
            <w:pPr>
              <w:jc w:val="center"/>
              <w:rPr>
                <w:rFonts w:ascii="宋体" w:cs="宋体"/>
                <w:highlight w:val="none"/>
              </w:rPr>
            </w:pPr>
            <w:r>
              <w:rPr>
                <w:rFonts w:hint="eastAsia" w:ascii="宋体" w:hAnsi="宋体" w:cs="宋体"/>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highlight w:val="none"/>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highlight w:val="none"/>
              </w:rPr>
            </w:pPr>
          </w:p>
        </w:tc>
        <w:tc>
          <w:tcPr>
            <w:tcW w:w="1303" w:type="dxa"/>
            <w:shd w:val="clear" w:color="auto" w:fill="D9D9D9"/>
            <w:vAlign w:val="center"/>
          </w:tcPr>
          <w:p>
            <w:pPr>
              <w:jc w:val="center"/>
              <w:rPr>
                <w:rFonts w:ascii="宋体" w:cs="宋体"/>
                <w:highlight w:val="none"/>
              </w:rPr>
            </w:pPr>
            <w:r>
              <w:rPr>
                <w:rFonts w:hint="eastAsia" w:ascii="宋体" w:hAnsi="宋体" w:cs="宋体"/>
                <w:highlight w:val="none"/>
              </w:rPr>
              <w:t>合格供应商</w:t>
            </w:r>
          </w:p>
        </w:tc>
        <w:tc>
          <w:tcPr>
            <w:tcW w:w="1843" w:type="dxa"/>
            <w:shd w:val="clear" w:color="auto" w:fill="D9D9D9"/>
            <w:vAlign w:val="center"/>
          </w:tcPr>
          <w:p>
            <w:pPr>
              <w:jc w:val="center"/>
              <w:rPr>
                <w:rFonts w:ascii="宋体" w:cs="宋体"/>
                <w:highlight w:val="none"/>
              </w:rPr>
            </w:pPr>
            <w:r>
              <w:rPr>
                <w:rFonts w:hint="eastAsia" w:ascii="宋体" w:hAnsi="宋体" w:cs="宋体"/>
                <w:highlight w:val="none"/>
              </w:rPr>
              <w:t>响应文件</w:t>
            </w:r>
          </w:p>
          <w:p>
            <w:pPr>
              <w:jc w:val="center"/>
              <w:rPr>
                <w:rFonts w:ascii="宋体" w:cs="宋体"/>
                <w:highlight w:val="none"/>
              </w:rPr>
            </w:pPr>
            <w:r>
              <w:rPr>
                <w:rFonts w:hint="eastAsia" w:ascii="宋体" w:hAnsi="宋体" w:cs="宋体"/>
                <w:highlight w:val="none"/>
              </w:rPr>
              <w:t>签署合格</w:t>
            </w:r>
          </w:p>
        </w:tc>
        <w:tc>
          <w:tcPr>
            <w:tcW w:w="1134" w:type="dxa"/>
            <w:shd w:val="clear" w:color="auto" w:fill="D9D9D9"/>
            <w:vAlign w:val="center"/>
          </w:tcPr>
          <w:p>
            <w:pPr>
              <w:jc w:val="center"/>
              <w:rPr>
                <w:rFonts w:ascii="宋体" w:cs="宋体"/>
                <w:highlight w:val="none"/>
              </w:rPr>
            </w:pPr>
            <w:r>
              <w:rPr>
                <w:rFonts w:hint="eastAsia" w:ascii="宋体" w:hAnsi="宋体" w:cs="宋体"/>
                <w:highlight w:val="none"/>
              </w:rPr>
              <w:t>报价要求</w:t>
            </w:r>
          </w:p>
        </w:tc>
        <w:tc>
          <w:tcPr>
            <w:tcW w:w="1984" w:type="dxa"/>
            <w:shd w:val="clear" w:color="auto" w:fill="D9D9D9"/>
            <w:vAlign w:val="center"/>
          </w:tcPr>
          <w:p>
            <w:pPr>
              <w:jc w:val="center"/>
              <w:rPr>
                <w:rFonts w:ascii="宋体" w:cs="宋体"/>
                <w:highlight w:val="none"/>
              </w:rPr>
            </w:pPr>
            <w:r>
              <w:rPr>
                <w:rFonts w:hint="eastAsia" w:ascii="宋体" w:hAnsi="宋体" w:cs="宋体"/>
                <w:highlight w:val="none"/>
              </w:rPr>
              <w:t>响应文件的完整性</w:t>
            </w:r>
          </w:p>
        </w:tc>
        <w:tc>
          <w:tcPr>
            <w:tcW w:w="851" w:type="dxa"/>
            <w:shd w:val="clear" w:color="auto" w:fill="D9D9D9"/>
            <w:vAlign w:val="center"/>
          </w:tcPr>
          <w:p>
            <w:pPr>
              <w:jc w:val="center"/>
              <w:rPr>
                <w:rFonts w:ascii="宋体" w:cs="宋体"/>
                <w:highlight w:val="none"/>
              </w:rPr>
            </w:pPr>
            <w:r>
              <w:rPr>
                <w:rFonts w:hint="eastAsia" w:ascii="宋体" w:hAnsi="宋体" w:cs="宋体"/>
                <w:highlight w:val="none"/>
              </w:rPr>
              <w:t>询价有效期</w:t>
            </w:r>
          </w:p>
        </w:tc>
        <w:tc>
          <w:tcPr>
            <w:tcW w:w="850" w:type="dxa"/>
            <w:shd w:val="clear" w:color="auto" w:fill="D9D9D9"/>
            <w:vAlign w:val="center"/>
          </w:tcPr>
          <w:p>
            <w:pPr>
              <w:jc w:val="center"/>
              <w:rPr>
                <w:rFonts w:ascii="宋体" w:cs="宋体"/>
                <w:highlight w:val="none"/>
              </w:rPr>
            </w:pPr>
            <w:r>
              <w:rPr>
                <w:rFonts w:hint="eastAsia" w:ascii="宋体" w:hAnsi="宋体" w:cs="宋体"/>
                <w:highlight w:val="none"/>
              </w:rPr>
              <w:t>带</w:t>
            </w:r>
            <w:r>
              <w:rPr>
                <w:rFonts w:hint="eastAsia" w:ascii="宋体" w:hAnsi="宋体" w:cs="宋体"/>
                <w:highlight w:val="none"/>
                <w:lang w:eastAsia="zh-CN"/>
              </w:rPr>
              <w:t>▲</w:t>
            </w:r>
            <w:r>
              <w:rPr>
                <w:rFonts w:hint="eastAsia" w:ascii="宋体" w:hAnsi="宋体" w:cs="宋体"/>
                <w:highlight w:val="none"/>
              </w:rPr>
              <w:t>条款</w:t>
            </w:r>
          </w:p>
        </w:tc>
        <w:tc>
          <w:tcPr>
            <w:tcW w:w="2835" w:type="dxa"/>
            <w:gridSpan w:val="2"/>
            <w:shd w:val="clear" w:color="auto" w:fill="D9D9D9"/>
            <w:vAlign w:val="center"/>
          </w:tcPr>
          <w:p>
            <w:pPr>
              <w:jc w:val="center"/>
              <w:rPr>
                <w:rFonts w:ascii="宋体" w:cs="宋体"/>
                <w:highlight w:val="none"/>
              </w:rPr>
            </w:pPr>
            <w:r>
              <w:rPr>
                <w:rFonts w:hint="eastAsia" w:ascii="宋体" w:hAnsi="宋体" w:cs="宋体"/>
                <w:highlight w:val="none"/>
              </w:rPr>
              <w:t>其他情形</w:t>
            </w:r>
          </w:p>
        </w:tc>
        <w:tc>
          <w:tcPr>
            <w:tcW w:w="851" w:type="dxa"/>
            <w:vMerge w:val="continue"/>
            <w:shd w:val="clear" w:color="auto" w:fill="D9D9D9"/>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highlight w:val="none"/>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highlight w:val="none"/>
              </w:rPr>
            </w:pPr>
          </w:p>
        </w:tc>
        <w:tc>
          <w:tcPr>
            <w:tcW w:w="1303"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highlight w:val="none"/>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color w:val="000000"/>
                <w:highlight w:val="none"/>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color w:val="000000"/>
                <w:highlight w:val="none"/>
              </w:rPr>
              <w:t>报价未超过本项目预算金额</w:t>
            </w:r>
          </w:p>
        </w:tc>
        <w:tc>
          <w:tcPr>
            <w:tcW w:w="1984"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highlight w:val="none"/>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highlight w:val="none"/>
              </w:rPr>
              <w:t>询价截止日起</w:t>
            </w:r>
            <w:r>
              <w:rPr>
                <w:rFonts w:hint="eastAsia" w:ascii="宋体" w:hAnsi="宋体" w:cs="宋体"/>
                <w:highlight w:val="none"/>
                <w:lang w:val="en-US" w:eastAsia="zh-CN"/>
              </w:rPr>
              <w:t>90</w:t>
            </w:r>
            <w:r>
              <w:rPr>
                <w:rFonts w:hint="eastAsia" w:ascii="宋体" w:hAnsi="宋体" w:cs="宋体"/>
                <w:highlight w:val="none"/>
              </w:rPr>
              <w:t>天</w:t>
            </w:r>
          </w:p>
        </w:tc>
        <w:tc>
          <w:tcPr>
            <w:tcW w:w="850"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highlight w:val="none"/>
              </w:rPr>
              <w:t>满足询价文件要求</w:t>
            </w:r>
          </w:p>
        </w:tc>
        <w:tc>
          <w:tcPr>
            <w:tcW w:w="1560"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highlight w:val="none"/>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highlight w:val="none"/>
              </w:rPr>
            </w:pPr>
            <w:r>
              <w:rPr>
                <w:rFonts w:hint="eastAsia" w:ascii="宋体" w:hAnsi="宋体" w:cs="宋体"/>
                <w:color w:val="000000"/>
                <w:highlight w:val="none"/>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1</w:t>
            </w:r>
          </w:p>
        </w:tc>
        <w:tc>
          <w:tcPr>
            <w:tcW w:w="2848" w:type="dxa"/>
            <w:shd w:val="clear" w:color="auto" w:fill="auto"/>
            <w:vAlign w:val="center"/>
          </w:tcPr>
          <w:p>
            <w:pPr>
              <w:spacing w:line="360" w:lineRule="auto"/>
              <w:jc w:val="center"/>
              <w:rPr>
                <w:rFonts w:ascii="宋体" w:cs="宋体"/>
                <w:highlight w:val="none"/>
              </w:rPr>
            </w:pPr>
          </w:p>
        </w:tc>
        <w:tc>
          <w:tcPr>
            <w:tcW w:w="1303" w:type="dxa"/>
            <w:shd w:val="clear" w:color="auto" w:fill="auto"/>
            <w:vAlign w:val="center"/>
          </w:tcPr>
          <w:p>
            <w:pPr>
              <w:jc w:val="center"/>
              <w:rPr>
                <w:rFonts w:ascii="宋体" w:cs="宋体"/>
                <w:highlight w:val="none"/>
              </w:rPr>
            </w:pPr>
          </w:p>
        </w:tc>
        <w:tc>
          <w:tcPr>
            <w:tcW w:w="1843" w:type="dxa"/>
            <w:shd w:val="clear" w:color="auto" w:fill="auto"/>
            <w:vAlign w:val="center"/>
          </w:tcPr>
          <w:p>
            <w:pPr>
              <w:jc w:val="center"/>
              <w:rPr>
                <w:rFonts w:ascii="宋体" w:cs="宋体"/>
                <w:highlight w:val="none"/>
              </w:rPr>
            </w:pPr>
          </w:p>
        </w:tc>
        <w:tc>
          <w:tcPr>
            <w:tcW w:w="1134" w:type="dxa"/>
            <w:shd w:val="clear" w:color="auto" w:fill="auto"/>
            <w:vAlign w:val="center"/>
          </w:tcPr>
          <w:p>
            <w:pPr>
              <w:jc w:val="center"/>
              <w:rPr>
                <w:rFonts w:ascii="宋体" w:cs="宋体"/>
                <w:highlight w:val="none"/>
              </w:rPr>
            </w:pPr>
          </w:p>
        </w:tc>
        <w:tc>
          <w:tcPr>
            <w:tcW w:w="1984"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c>
          <w:tcPr>
            <w:tcW w:w="850" w:type="dxa"/>
            <w:shd w:val="clear" w:color="auto" w:fill="auto"/>
            <w:vAlign w:val="center"/>
          </w:tcPr>
          <w:p>
            <w:pPr>
              <w:jc w:val="center"/>
              <w:rPr>
                <w:rFonts w:ascii="宋体" w:cs="宋体"/>
                <w:highlight w:val="none"/>
              </w:rPr>
            </w:pPr>
          </w:p>
        </w:tc>
        <w:tc>
          <w:tcPr>
            <w:tcW w:w="1560" w:type="dxa"/>
            <w:shd w:val="clear" w:color="auto" w:fill="auto"/>
            <w:vAlign w:val="center"/>
          </w:tcPr>
          <w:p>
            <w:pPr>
              <w:jc w:val="center"/>
              <w:rPr>
                <w:rFonts w:ascii="宋体" w:cs="宋体"/>
                <w:highlight w:val="none"/>
              </w:rPr>
            </w:pPr>
          </w:p>
        </w:tc>
        <w:tc>
          <w:tcPr>
            <w:tcW w:w="1275"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2</w:t>
            </w:r>
          </w:p>
        </w:tc>
        <w:tc>
          <w:tcPr>
            <w:tcW w:w="2848" w:type="dxa"/>
            <w:shd w:val="clear" w:color="auto" w:fill="auto"/>
            <w:vAlign w:val="center"/>
          </w:tcPr>
          <w:p>
            <w:pPr>
              <w:spacing w:line="360" w:lineRule="auto"/>
              <w:jc w:val="center"/>
              <w:rPr>
                <w:rFonts w:ascii="宋体" w:cs="宋体"/>
                <w:highlight w:val="none"/>
              </w:rPr>
            </w:pPr>
          </w:p>
        </w:tc>
        <w:tc>
          <w:tcPr>
            <w:tcW w:w="1303" w:type="dxa"/>
            <w:shd w:val="clear" w:color="auto" w:fill="auto"/>
            <w:vAlign w:val="center"/>
          </w:tcPr>
          <w:p>
            <w:pPr>
              <w:jc w:val="center"/>
              <w:rPr>
                <w:rFonts w:ascii="宋体" w:cs="宋体"/>
                <w:highlight w:val="none"/>
              </w:rPr>
            </w:pPr>
          </w:p>
        </w:tc>
        <w:tc>
          <w:tcPr>
            <w:tcW w:w="1843" w:type="dxa"/>
            <w:shd w:val="clear" w:color="auto" w:fill="auto"/>
            <w:vAlign w:val="center"/>
          </w:tcPr>
          <w:p>
            <w:pPr>
              <w:jc w:val="center"/>
              <w:rPr>
                <w:rFonts w:ascii="宋体" w:cs="宋体"/>
                <w:highlight w:val="none"/>
              </w:rPr>
            </w:pPr>
          </w:p>
        </w:tc>
        <w:tc>
          <w:tcPr>
            <w:tcW w:w="1134" w:type="dxa"/>
            <w:shd w:val="clear" w:color="auto" w:fill="auto"/>
            <w:vAlign w:val="center"/>
          </w:tcPr>
          <w:p>
            <w:pPr>
              <w:jc w:val="center"/>
              <w:rPr>
                <w:rFonts w:ascii="宋体" w:cs="宋体"/>
                <w:highlight w:val="none"/>
              </w:rPr>
            </w:pPr>
          </w:p>
        </w:tc>
        <w:tc>
          <w:tcPr>
            <w:tcW w:w="1984"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c>
          <w:tcPr>
            <w:tcW w:w="850" w:type="dxa"/>
            <w:shd w:val="clear" w:color="auto" w:fill="auto"/>
            <w:vAlign w:val="center"/>
          </w:tcPr>
          <w:p>
            <w:pPr>
              <w:jc w:val="center"/>
              <w:rPr>
                <w:rFonts w:ascii="宋体" w:cs="宋体"/>
                <w:highlight w:val="none"/>
              </w:rPr>
            </w:pPr>
          </w:p>
        </w:tc>
        <w:tc>
          <w:tcPr>
            <w:tcW w:w="1560" w:type="dxa"/>
            <w:shd w:val="clear" w:color="auto" w:fill="auto"/>
            <w:vAlign w:val="center"/>
          </w:tcPr>
          <w:p>
            <w:pPr>
              <w:jc w:val="center"/>
              <w:rPr>
                <w:rFonts w:ascii="宋体" w:cs="宋体"/>
                <w:highlight w:val="none"/>
              </w:rPr>
            </w:pPr>
          </w:p>
        </w:tc>
        <w:tc>
          <w:tcPr>
            <w:tcW w:w="1275"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3</w:t>
            </w:r>
          </w:p>
        </w:tc>
        <w:tc>
          <w:tcPr>
            <w:tcW w:w="2848" w:type="dxa"/>
            <w:shd w:val="clear" w:color="auto" w:fill="auto"/>
            <w:vAlign w:val="center"/>
          </w:tcPr>
          <w:p>
            <w:pPr>
              <w:spacing w:line="360" w:lineRule="auto"/>
              <w:jc w:val="center"/>
              <w:rPr>
                <w:rFonts w:ascii="宋体" w:cs="宋体"/>
                <w:highlight w:val="none"/>
              </w:rPr>
            </w:pPr>
          </w:p>
        </w:tc>
        <w:tc>
          <w:tcPr>
            <w:tcW w:w="1303" w:type="dxa"/>
            <w:shd w:val="clear" w:color="auto" w:fill="auto"/>
            <w:vAlign w:val="center"/>
          </w:tcPr>
          <w:p>
            <w:pPr>
              <w:jc w:val="center"/>
              <w:rPr>
                <w:rFonts w:ascii="宋体" w:cs="宋体"/>
                <w:highlight w:val="none"/>
              </w:rPr>
            </w:pPr>
          </w:p>
        </w:tc>
        <w:tc>
          <w:tcPr>
            <w:tcW w:w="1843" w:type="dxa"/>
            <w:shd w:val="clear" w:color="auto" w:fill="auto"/>
            <w:vAlign w:val="center"/>
          </w:tcPr>
          <w:p>
            <w:pPr>
              <w:jc w:val="center"/>
              <w:rPr>
                <w:rFonts w:ascii="宋体" w:cs="宋体"/>
                <w:highlight w:val="none"/>
              </w:rPr>
            </w:pPr>
          </w:p>
        </w:tc>
        <w:tc>
          <w:tcPr>
            <w:tcW w:w="1134" w:type="dxa"/>
            <w:shd w:val="clear" w:color="auto" w:fill="auto"/>
            <w:vAlign w:val="center"/>
          </w:tcPr>
          <w:p>
            <w:pPr>
              <w:jc w:val="center"/>
              <w:rPr>
                <w:rFonts w:ascii="宋体" w:cs="宋体"/>
                <w:highlight w:val="none"/>
              </w:rPr>
            </w:pPr>
          </w:p>
        </w:tc>
        <w:tc>
          <w:tcPr>
            <w:tcW w:w="1984"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c>
          <w:tcPr>
            <w:tcW w:w="850" w:type="dxa"/>
            <w:shd w:val="clear" w:color="auto" w:fill="auto"/>
            <w:vAlign w:val="center"/>
          </w:tcPr>
          <w:p>
            <w:pPr>
              <w:jc w:val="center"/>
              <w:rPr>
                <w:rFonts w:ascii="宋体" w:cs="宋体"/>
                <w:highlight w:val="none"/>
              </w:rPr>
            </w:pPr>
          </w:p>
        </w:tc>
        <w:tc>
          <w:tcPr>
            <w:tcW w:w="1560" w:type="dxa"/>
            <w:shd w:val="clear" w:color="auto" w:fill="auto"/>
            <w:vAlign w:val="center"/>
          </w:tcPr>
          <w:p>
            <w:pPr>
              <w:jc w:val="center"/>
              <w:rPr>
                <w:rFonts w:ascii="宋体" w:cs="宋体"/>
                <w:highlight w:val="none"/>
              </w:rPr>
            </w:pPr>
          </w:p>
        </w:tc>
        <w:tc>
          <w:tcPr>
            <w:tcW w:w="1275"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4</w:t>
            </w:r>
          </w:p>
        </w:tc>
        <w:tc>
          <w:tcPr>
            <w:tcW w:w="2848" w:type="dxa"/>
            <w:shd w:val="clear" w:color="auto" w:fill="auto"/>
            <w:vAlign w:val="center"/>
          </w:tcPr>
          <w:p>
            <w:pPr>
              <w:spacing w:line="360" w:lineRule="auto"/>
              <w:jc w:val="center"/>
              <w:rPr>
                <w:rFonts w:ascii="宋体" w:cs="宋体"/>
                <w:highlight w:val="none"/>
              </w:rPr>
            </w:pPr>
          </w:p>
        </w:tc>
        <w:tc>
          <w:tcPr>
            <w:tcW w:w="1303" w:type="dxa"/>
            <w:shd w:val="clear" w:color="auto" w:fill="auto"/>
            <w:vAlign w:val="center"/>
          </w:tcPr>
          <w:p>
            <w:pPr>
              <w:jc w:val="center"/>
              <w:rPr>
                <w:rFonts w:ascii="宋体" w:cs="宋体"/>
                <w:highlight w:val="none"/>
              </w:rPr>
            </w:pPr>
          </w:p>
        </w:tc>
        <w:tc>
          <w:tcPr>
            <w:tcW w:w="1843" w:type="dxa"/>
            <w:shd w:val="clear" w:color="auto" w:fill="auto"/>
            <w:vAlign w:val="center"/>
          </w:tcPr>
          <w:p>
            <w:pPr>
              <w:jc w:val="center"/>
              <w:rPr>
                <w:rFonts w:ascii="宋体" w:cs="宋体"/>
                <w:highlight w:val="none"/>
              </w:rPr>
            </w:pPr>
          </w:p>
        </w:tc>
        <w:tc>
          <w:tcPr>
            <w:tcW w:w="1134" w:type="dxa"/>
            <w:shd w:val="clear" w:color="auto" w:fill="auto"/>
            <w:vAlign w:val="center"/>
          </w:tcPr>
          <w:p>
            <w:pPr>
              <w:jc w:val="center"/>
              <w:rPr>
                <w:rFonts w:ascii="宋体" w:cs="宋体"/>
                <w:highlight w:val="none"/>
              </w:rPr>
            </w:pPr>
          </w:p>
        </w:tc>
        <w:tc>
          <w:tcPr>
            <w:tcW w:w="1984"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c>
          <w:tcPr>
            <w:tcW w:w="850" w:type="dxa"/>
            <w:shd w:val="clear" w:color="auto" w:fill="auto"/>
            <w:vAlign w:val="center"/>
          </w:tcPr>
          <w:p>
            <w:pPr>
              <w:jc w:val="center"/>
              <w:rPr>
                <w:rFonts w:ascii="宋体" w:cs="宋体"/>
                <w:highlight w:val="none"/>
              </w:rPr>
            </w:pPr>
          </w:p>
        </w:tc>
        <w:tc>
          <w:tcPr>
            <w:tcW w:w="1560" w:type="dxa"/>
            <w:shd w:val="clear" w:color="auto" w:fill="auto"/>
            <w:vAlign w:val="center"/>
          </w:tcPr>
          <w:p>
            <w:pPr>
              <w:jc w:val="center"/>
              <w:rPr>
                <w:rFonts w:ascii="宋体" w:cs="宋体"/>
                <w:highlight w:val="none"/>
              </w:rPr>
            </w:pPr>
          </w:p>
        </w:tc>
        <w:tc>
          <w:tcPr>
            <w:tcW w:w="1275"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highlight w:val="none"/>
              </w:rPr>
            </w:pPr>
            <w:r>
              <w:rPr>
                <w:rFonts w:ascii="宋体" w:hAnsi="宋体" w:cs="宋体"/>
                <w:spacing w:val="-12"/>
                <w:sz w:val="24"/>
                <w:szCs w:val="24"/>
                <w:highlight w:val="none"/>
              </w:rPr>
              <w:t>5</w:t>
            </w:r>
          </w:p>
        </w:tc>
        <w:tc>
          <w:tcPr>
            <w:tcW w:w="2848" w:type="dxa"/>
            <w:shd w:val="clear" w:color="auto" w:fill="auto"/>
            <w:vAlign w:val="center"/>
          </w:tcPr>
          <w:p>
            <w:pPr>
              <w:spacing w:line="360" w:lineRule="auto"/>
              <w:jc w:val="center"/>
              <w:rPr>
                <w:rFonts w:ascii="宋体" w:cs="宋体"/>
                <w:highlight w:val="none"/>
              </w:rPr>
            </w:pPr>
          </w:p>
        </w:tc>
        <w:tc>
          <w:tcPr>
            <w:tcW w:w="1303" w:type="dxa"/>
            <w:shd w:val="clear" w:color="auto" w:fill="auto"/>
            <w:vAlign w:val="center"/>
          </w:tcPr>
          <w:p>
            <w:pPr>
              <w:jc w:val="center"/>
              <w:rPr>
                <w:rFonts w:ascii="宋体" w:cs="宋体"/>
                <w:highlight w:val="none"/>
              </w:rPr>
            </w:pPr>
          </w:p>
        </w:tc>
        <w:tc>
          <w:tcPr>
            <w:tcW w:w="1843" w:type="dxa"/>
            <w:shd w:val="clear" w:color="auto" w:fill="auto"/>
            <w:vAlign w:val="center"/>
          </w:tcPr>
          <w:p>
            <w:pPr>
              <w:jc w:val="center"/>
              <w:rPr>
                <w:rFonts w:ascii="宋体" w:cs="宋体"/>
                <w:highlight w:val="none"/>
              </w:rPr>
            </w:pPr>
          </w:p>
        </w:tc>
        <w:tc>
          <w:tcPr>
            <w:tcW w:w="1134" w:type="dxa"/>
            <w:shd w:val="clear" w:color="auto" w:fill="auto"/>
            <w:vAlign w:val="center"/>
          </w:tcPr>
          <w:p>
            <w:pPr>
              <w:jc w:val="center"/>
              <w:rPr>
                <w:rFonts w:ascii="宋体" w:cs="宋体"/>
                <w:highlight w:val="none"/>
              </w:rPr>
            </w:pPr>
          </w:p>
        </w:tc>
        <w:tc>
          <w:tcPr>
            <w:tcW w:w="1984"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c>
          <w:tcPr>
            <w:tcW w:w="850" w:type="dxa"/>
            <w:shd w:val="clear" w:color="auto" w:fill="auto"/>
            <w:vAlign w:val="center"/>
          </w:tcPr>
          <w:p>
            <w:pPr>
              <w:jc w:val="center"/>
              <w:rPr>
                <w:rFonts w:ascii="宋体" w:cs="宋体"/>
                <w:highlight w:val="none"/>
              </w:rPr>
            </w:pPr>
          </w:p>
        </w:tc>
        <w:tc>
          <w:tcPr>
            <w:tcW w:w="1560" w:type="dxa"/>
            <w:shd w:val="clear" w:color="auto" w:fill="auto"/>
            <w:vAlign w:val="center"/>
          </w:tcPr>
          <w:p>
            <w:pPr>
              <w:jc w:val="center"/>
              <w:rPr>
                <w:rFonts w:ascii="宋体" w:cs="宋体"/>
                <w:highlight w:val="none"/>
              </w:rPr>
            </w:pPr>
          </w:p>
        </w:tc>
        <w:tc>
          <w:tcPr>
            <w:tcW w:w="1275" w:type="dxa"/>
            <w:shd w:val="clear" w:color="auto" w:fill="auto"/>
          </w:tcPr>
          <w:p>
            <w:pPr>
              <w:jc w:val="center"/>
              <w:rPr>
                <w:rFonts w:ascii="宋体" w:cs="宋体"/>
                <w:highlight w:val="none"/>
              </w:rPr>
            </w:pPr>
          </w:p>
        </w:tc>
        <w:tc>
          <w:tcPr>
            <w:tcW w:w="851" w:type="dxa"/>
            <w:shd w:val="clear" w:color="auto" w:fill="auto"/>
            <w:vAlign w:val="center"/>
          </w:tcPr>
          <w:p>
            <w:pPr>
              <w:jc w:val="center"/>
              <w:rPr>
                <w:rFonts w:ascii="宋体" w:cs="宋体"/>
                <w:highlight w:val="none"/>
              </w:rPr>
            </w:pPr>
          </w:p>
        </w:tc>
      </w:tr>
    </w:tbl>
    <w:p>
      <w:pPr>
        <w:spacing w:line="400" w:lineRule="exact"/>
        <w:rPr>
          <w:rFonts w:ascii="宋体" w:cs="宋体"/>
          <w:b/>
          <w:bCs/>
          <w:sz w:val="28"/>
          <w:szCs w:val="28"/>
          <w:highlight w:val="none"/>
        </w:rPr>
      </w:pPr>
      <w:r>
        <w:rPr>
          <w:rFonts w:hint="eastAsia" w:ascii="宋体" w:hAnsi="宋体" w:cs="宋体"/>
          <w:b/>
          <w:bCs/>
          <w:highlight w:val="none"/>
        </w:rPr>
        <w:t>注：</w:t>
      </w:r>
      <w:r>
        <w:rPr>
          <w:rFonts w:ascii="宋体" w:hAnsi="宋体" w:cs="宋体"/>
          <w:highlight w:val="none"/>
        </w:rPr>
        <w:t>1</w:t>
      </w:r>
      <w:r>
        <w:rPr>
          <w:rFonts w:hint="eastAsia" w:ascii="宋体" w:hAnsi="宋体" w:cs="宋体"/>
          <w:highlight w:val="none"/>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highlight w:val="none"/>
        </w:rPr>
      </w:pPr>
      <w:r>
        <w:rPr>
          <w:rFonts w:ascii="宋体" w:hAnsi="宋体" w:cs="宋体"/>
          <w:highlight w:val="none"/>
        </w:rPr>
        <w:t xml:space="preserve">        2</w:t>
      </w:r>
      <w:r>
        <w:rPr>
          <w:rFonts w:hint="eastAsia" w:ascii="宋体" w:hAnsi="宋体" w:cs="宋体"/>
          <w:highlight w:val="none"/>
        </w:rPr>
        <w:t>、结论为通过的供应商可以进入下一阶段的评审。</w:t>
      </w:r>
    </w:p>
    <w:p>
      <w:pPr>
        <w:pStyle w:val="2"/>
        <w:ind w:firstLine="0" w:firstLineChars="0"/>
        <w:rPr>
          <w:rFonts w:cs="Times New Roman"/>
          <w:highlight w:val="none"/>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highlight w:val="none"/>
        </w:rPr>
      </w:pPr>
      <w:bookmarkStart w:id="61" w:name="_Toc454458060"/>
      <w:bookmarkStart w:id="62" w:name="_Toc87417452"/>
      <w:bookmarkStart w:id="63" w:name="_Toc50691023"/>
      <w:bookmarkStart w:id="64" w:name="_Toc50736470"/>
      <w:bookmarkStart w:id="65" w:name="_Toc50737290"/>
      <w:bookmarkStart w:id="66" w:name="_Toc50737322"/>
      <w:bookmarkStart w:id="67" w:name="_Toc4423"/>
      <w:bookmarkStart w:id="68" w:name="_Toc43264513"/>
      <w:r>
        <w:rPr>
          <w:rFonts w:hint="eastAsia"/>
          <w:sz w:val="36"/>
          <w:szCs w:val="36"/>
          <w:highlight w:val="none"/>
        </w:rPr>
        <w:t>第四章 合同</w:t>
      </w:r>
      <w:bookmarkEnd w:id="61"/>
      <w:bookmarkEnd w:id="62"/>
      <w:bookmarkEnd w:id="63"/>
      <w:bookmarkEnd w:id="64"/>
      <w:bookmarkEnd w:id="65"/>
      <w:bookmarkEnd w:id="66"/>
      <w:r>
        <w:rPr>
          <w:rFonts w:hint="eastAsia"/>
          <w:sz w:val="36"/>
          <w:szCs w:val="36"/>
          <w:highlight w:val="none"/>
        </w:rPr>
        <w:t>格式</w:t>
      </w:r>
      <w:bookmarkEnd w:id="67"/>
    </w:p>
    <w:p>
      <w:pPr>
        <w:adjustRightInd w:val="0"/>
        <w:snapToGrid w:val="0"/>
        <w:jc w:val="left"/>
        <w:rPr>
          <w:rFonts w:ascii="宋体" w:hAnsi="Times New Roman" w:cs="宋体"/>
          <w:b/>
          <w:sz w:val="24"/>
          <w:highlight w:val="none"/>
        </w:rPr>
      </w:pPr>
    </w:p>
    <w:p>
      <w:pPr>
        <w:adjustRightInd w:val="0"/>
        <w:snapToGrid w:val="0"/>
        <w:jc w:val="left"/>
        <w:rPr>
          <w:rFonts w:ascii="宋体" w:hAnsi="Times New Roman" w:cs="宋体"/>
          <w:b/>
          <w:sz w:val="24"/>
          <w:highlight w:val="none"/>
        </w:rPr>
      </w:pPr>
    </w:p>
    <w:p>
      <w:pPr>
        <w:adjustRightInd w:val="0"/>
        <w:snapToGrid w:val="0"/>
        <w:jc w:val="left"/>
        <w:rPr>
          <w:rFonts w:ascii="宋体" w:hAnsi="Times New Roman" w:cs="宋体"/>
          <w:b/>
          <w:sz w:val="24"/>
          <w:highlight w:val="none"/>
        </w:rPr>
      </w:pPr>
    </w:p>
    <w:p>
      <w:pPr>
        <w:adjustRightInd w:val="0"/>
        <w:snapToGrid w:val="0"/>
        <w:jc w:val="left"/>
        <w:rPr>
          <w:rFonts w:ascii="宋体" w:hAnsi="Times New Roman" w:cs="宋体"/>
          <w:b/>
          <w:sz w:val="24"/>
          <w:highlight w:val="none"/>
        </w:rPr>
      </w:pPr>
    </w:p>
    <w:p>
      <w:pPr>
        <w:adjustRightInd w:val="0"/>
        <w:snapToGrid w:val="0"/>
        <w:jc w:val="left"/>
        <w:rPr>
          <w:rFonts w:ascii="宋体" w:hAnsi="Times New Roman" w:cs="宋体"/>
          <w:b/>
          <w:sz w:val="24"/>
          <w:highlight w:val="none"/>
        </w:rPr>
      </w:pPr>
    </w:p>
    <w:p>
      <w:pPr>
        <w:jc w:val="center"/>
        <w:rPr>
          <w:rFonts w:eastAsia="黑体"/>
          <w:sz w:val="48"/>
          <w:highlight w:val="none"/>
        </w:rPr>
      </w:pPr>
    </w:p>
    <w:p>
      <w:pPr>
        <w:jc w:val="center"/>
        <w:rPr>
          <w:rFonts w:eastAsia="黑体"/>
          <w:sz w:val="48"/>
          <w:highlight w:val="none"/>
        </w:rPr>
      </w:pPr>
    </w:p>
    <w:p>
      <w:pPr>
        <w:jc w:val="center"/>
        <w:rPr>
          <w:rFonts w:eastAsia="黑体"/>
          <w:sz w:val="48"/>
          <w:highlight w:val="none"/>
        </w:rPr>
      </w:pPr>
    </w:p>
    <w:p>
      <w:pPr>
        <w:jc w:val="center"/>
        <w:rPr>
          <w:rFonts w:eastAsia="黑体"/>
          <w:sz w:val="48"/>
          <w:highlight w:val="none"/>
        </w:rPr>
      </w:pPr>
      <w:r>
        <w:rPr>
          <w:rFonts w:eastAsia="黑体"/>
          <w:sz w:val="48"/>
          <w:highlight w:val="none"/>
        </w:rPr>
        <w:t>电 梯 保 养 合 同</w:t>
      </w:r>
    </w:p>
    <w:p>
      <w:pPr>
        <w:jc w:val="center"/>
        <w:rPr>
          <w:rFonts w:eastAsia="黑体"/>
          <w:sz w:val="48"/>
          <w:highlight w:val="none"/>
        </w:rPr>
      </w:pPr>
    </w:p>
    <w:p>
      <w:pPr>
        <w:jc w:val="center"/>
        <w:rPr>
          <w:rFonts w:eastAsia="黑体"/>
          <w:sz w:val="48"/>
          <w:highlight w:val="none"/>
        </w:rPr>
      </w:pPr>
    </w:p>
    <w:p>
      <w:pPr>
        <w:jc w:val="center"/>
        <w:rPr>
          <w:rFonts w:eastAsia="黑体"/>
          <w:sz w:val="48"/>
          <w:highlight w:val="none"/>
        </w:rPr>
      </w:pPr>
    </w:p>
    <w:p>
      <w:pPr>
        <w:jc w:val="center"/>
        <w:rPr>
          <w:rFonts w:eastAsia="黑体"/>
          <w:sz w:val="32"/>
          <w:highlight w:val="none"/>
        </w:rPr>
      </w:pPr>
    </w:p>
    <w:p>
      <w:pPr>
        <w:rPr>
          <w:highlight w:val="none"/>
        </w:rPr>
      </w:pPr>
    </w:p>
    <w:p>
      <w:pPr>
        <w:rPr>
          <w:highlight w:val="none"/>
        </w:rPr>
      </w:pPr>
    </w:p>
    <w:p>
      <w:pPr>
        <w:rPr>
          <w:highlight w:val="none"/>
        </w:rPr>
      </w:pPr>
    </w:p>
    <w:p>
      <w:pPr>
        <w:rPr>
          <w:sz w:val="30"/>
          <w:szCs w:val="30"/>
          <w:highlight w:val="none"/>
        </w:rPr>
      </w:pPr>
      <w:r>
        <w:rPr>
          <w:rFonts w:hint="eastAsia"/>
          <w:b/>
          <w:sz w:val="36"/>
          <w:szCs w:val="36"/>
          <w:highlight w:val="none"/>
        </w:rPr>
        <w:t>项目名称：</w:t>
      </w:r>
      <w:r>
        <w:rPr>
          <w:rFonts w:hint="eastAsia"/>
          <w:sz w:val="30"/>
          <w:szCs w:val="30"/>
          <w:highlight w:val="none"/>
        </w:rPr>
        <w:t>广西南宁技师学院202</w:t>
      </w:r>
      <w:r>
        <w:rPr>
          <w:rFonts w:hint="eastAsia"/>
          <w:sz w:val="30"/>
          <w:szCs w:val="30"/>
          <w:highlight w:val="none"/>
          <w:lang w:val="en-US" w:eastAsia="zh-CN"/>
        </w:rPr>
        <w:t>5</w:t>
      </w:r>
      <w:r>
        <w:rPr>
          <w:rFonts w:hint="eastAsia"/>
          <w:sz w:val="30"/>
          <w:szCs w:val="30"/>
          <w:highlight w:val="none"/>
        </w:rPr>
        <w:t>年新校区28台电梯维保服务</w:t>
      </w:r>
    </w:p>
    <w:p>
      <w:pPr>
        <w:rPr>
          <w:sz w:val="30"/>
          <w:szCs w:val="30"/>
          <w:highlight w:val="none"/>
        </w:rPr>
      </w:pPr>
    </w:p>
    <w:p>
      <w:pPr>
        <w:rPr>
          <w:highlight w:val="none"/>
        </w:rPr>
      </w:pPr>
      <w:r>
        <w:rPr>
          <w:rFonts w:hint="eastAsia"/>
          <w:b/>
          <w:sz w:val="36"/>
          <w:szCs w:val="36"/>
          <w:highlight w:val="none"/>
        </w:rPr>
        <w:t>项目编号：</w:t>
      </w:r>
    </w:p>
    <w:p>
      <w:pPr>
        <w:rPr>
          <w:highlight w:val="none"/>
        </w:rPr>
      </w:pPr>
    </w:p>
    <w:p>
      <w:pPr>
        <w:rPr>
          <w:sz w:val="30"/>
          <w:szCs w:val="30"/>
          <w:highlight w:val="none"/>
        </w:rPr>
      </w:pPr>
      <w:r>
        <w:rPr>
          <w:sz w:val="30"/>
          <w:szCs w:val="30"/>
          <w:highlight w:val="none"/>
        </w:rPr>
        <w:t>甲  方：</w:t>
      </w:r>
      <w:r>
        <w:rPr>
          <w:rFonts w:hint="eastAsia"/>
          <w:sz w:val="30"/>
          <w:szCs w:val="30"/>
          <w:highlight w:val="none"/>
        </w:rPr>
        <w:t>广西南宁技师学院</w:t>
      </w:r>
    </w:p>
    <w:p>
      <w:pPr>
        <w:rPr>
          <w:sz w:val="30"/>
          <w:szCs w:val="30"/>
          <w:highlight w:val="none"/>
        </w:rPr>
      </w:pPr>
    </w:p>
    <w:p>
      <w:pPr>
        <w:rPr>
          <w:highlight w:val="none"/>
        </w:rPr>
      </w:pPr>
      <w:r>
        <w:rPr>
          <w:sz w:val="30"/>
          <w:szCs w:val="30"/>
          <w:highlight w:val="none"/>
        </w:rPr>
        <w:t>乙  方：</w:t>
      </w:r>
    </w:p>
    <w:p>
      <w:pPr>
        <w:rPr>
          <w:highlight w:val="none"/>
        </w:rPr>
      </w:pPr>
    </w:p>
    <w:p>
      <w:pPr>
        <w:rPr>
          <w:highlight w:val="none"/>
        </w:rPr>
      </w:pPr>
    </w:p>
    <w:p>
      <w:pPr>
        <w:rPr>
          <w:sz w:val="30"/>
          <w:szCs w:val="30"/>
          <w:highlight w:val="none"/>
        </w:rPr>
      </w:pPr>
      <w:r>
        <w:rPr>
          <w:rFonts w:hint="eastAsia"/>
          <w:sz w:val="30"/>
          <w:szCs w:val="30"/>
          <w:highlight w:val="none"/>
        </w:rPr>
        <w:t>日  期：</w:t>
      </w:r>
    </w:p>
    <w:p>
      <w:pPr>
        <w:jc w:val="center"/>
        <w:rPr>
          <w:b/>
          <w:sz w:val="36"/>
          <w:szCs w:val="36"/>
          <w:highlight w:val="none"/>
        </w:rPr>
      </w:pPr>
      <w:r>
        <w:rPr>
          <w:rFonts w:hint="eastAsia"/>
          <w:b/>
          <w:sz w:val="36"/>
          <w:szCs w:val="36"/>
          <w:highlight w:val="none"/>
        </w:rPr>
        <w:t>目</w:t>
      </w:r>
      <w:r>
        <w:rPr>
          <w:b/>
          <w:sz w:val="36"/>
          <w:szCs w:val="36"/>
          <w:highlight w:val="none"/>
        </w:rPr>
        <w:t xml:space="preserve">  </w:t>
      </w:r>
      <w:r>
        <w:rPr>
          <w:rFonts w:hint="eastAsia"/>
          <w:b/>
          <w:sz w:val="36"/>
          <w:szCs w:val="36"/>
          <w:highlight w:val="none"/>
        </w:rPr>
        <w:t>录</w:t>
      </w:r>
    </w:p>
    <w:p>
      <w:pPr>
        <w:tabs>
          <w:tab w:val="left" w:pos="1170"/>
        </w:tabs>
        <w:spacing w:line="360" w:lineRule="auto"/>
        <w:ind w:left="359" w:leftChars="171" w:firstLine="198" w:firstLineChars="71"/>
        <w:rPr>
          <w:rFonts w:ascii="宋体" w:hAnsi="宋体"/>
          <w:sz w:val="28"/>
          <w:highlight w:val="none"/>
        </w:rPr>
      </w:pPr>
      <w:r>
        <w:rPr>
          <w:rFonts w:hint="eastAsia" w:ascii="宋体" w:hAnsi="宋体"/>
          <w:sz w:val="28"/>
          <w:highlight w:val="none"/>
        </w:rPr>
        <w:tab/>
      </w:r>
    </w:p>
    <w:p>
      <w:pPr>
        <w:rPr>
          <w:b/>
          <w:sz w:val="30"/>
          <w:szCs w:val="30"/>
          <w:highlight w:val="none"/>
        </w:rPr>
      </w:pPr>
      <w:r>
        <w:rPr>
          <w:rFonts w:hint="eastAsia"/>
          <w:b/>
          <w:sz w:val="30"/>
          <w:szCs w:val="30"/>
          <w:highlight w:val="none"/>
        </w:rPr>
        <w:t>一、广西南宁技师学院自行采购合同书</w:t>
      </w:r>
    </w:p>
    <w:p>
      <w:pPr>
        <w:rPr>
          <w:b/>
          <w:sz w:val="30"/>
          <w:szCs w:val="30"/>
          <w:highlight w:val="none"/>
        </w:rPr>
      </w:pPr>
      <w:r>
        <w:rPr>
          <w:rFonts w:hint="eastAsia"/>
          <w:b/>
          <w:sz w:val="30"/>
          <w:szCs w:val="30"/>
          <w:highlight w:val="none"/>
        </w:rPr>
        <w:t>二、合同附件</w:t>
      </w:r>
    </w:p>
    <w:p>
      <w:pPr>
        <w:numPr>
          <w:ilvl w:val="0"/>
          <w:numId w:val="2"/>
        </w:numPr>
        <w:tabs>
          <w:tab w:val="left" w:pos="972"/>
        </w:tabs>
        <w:rPr>
          <w:rFonts w:ascii="宋体" w:hAnsi="宋体"/>
          <w:sz w:val="28"/>
          <w:highlight w:val="none"/>
        </w:rPr>
      </w:pPr>
      <w:r>
        <w:rPr>
          <w:rFonts w:hint="eastAsia" w:ascii="宋体" w:hAnsi="宋体"/>
          <w:sz w:val="28"/>
          <w:highlight w:val="none"/>
        </w:rPr>
        <w:t>中标通知书</w:t>
      </w:r>
    </w:p>
    <w:p>
      <w:pPr>
        <w:numPr>
          <w:ilvl w:val="0"/>
          <w:numId w:val="2"/>
        </w:numPr>
        <w:tabs>
          <w:tab w:val="left" w:pos="972"/>
        </w:tabs>
        <w:rPr>
          <w:rFonts w:ascii="宋体" w:hAnsi="宋体"/>
          <w:sz w:val="28"/>
          <w:highlight w:val="none"/>
        </w:rPr>
      </w:pPr>
      <w:r>
        <w:rPr>
          <w:rFonts w:hint="eastAsia" w:ascii="宋体" w:hAnsi="宋体"/>
          <w:sz w:val="28"/>
          <w:highlight w:val="none"/>
        </w:rPr>
        <w:t>询价文件采购需求书</w:t>
      </w:r>
    </w:p>
    <w:p>
      <w:pPr>
        <w:numPr>
          <w:ilvl w:val="0"/>
          <w:numId w:val="2"/>
        </w:numPr>
        <w:tabs>
          <w:tab w:val="left" w:pos="972"/>
        </w:tabs>
        <w:rPr>
          <w:rFonts w:ascii="宋体" w:hAnsi="宋体"/>
          <w:sz w:val="28"/>
          <w:highlight w:val="none"/>
        </w:rPr>
      </w:pPr>
      <w:r>
        <w:rPr>
          <w:rFonts w:hint="eastAsia" w:ascii="宋体" w:hAnsi="宋体"/>
          <w:sz w:val="28"/>
          <w:highlight w:val="none"/>
        </w:rPr>
        <w:t>询价文件的更改通知（如有）</w:t>
      </w:r>
    </w:p>
    <w:p>
      <w:pPr>
        <w:numPr>
          <w:ilvl w:val="0"/>
          <w:numId w:val="2"/>
        </w:numPr>
        <w:tabs>
          <w:tab w:val="left" w:pos="972"/>
        </w:tabs>
        <w:rPr>
          <w:rFonts w:ascii="宋体" w:hAnsi="宋体"/>
          <w:sz w:val="28"/>
          <w:highlight w:val="none"/>
        </w:rPr>
      </w:pPr>
      <w:r>
        <w:rPr>
          <w:rFonts w:hint="eastAsia" w:ascii="宋体" w:hAnsi="宋体"/>
          <w:sz w:val="28"/>
          <w:highlight w:val="none"/>
        </w:rPr>
        <w:t>投标响应函</w:t>
      </w:r>
    </w:p>
    <w:p>
      <w:pPr>
        <w:numPr>
          <w:ilvl w:val="0"/>
          <w:numId w:val="2"/>
        </w:numPr>
        <w:tabs>
          <w:tab w:val="left" w:pos="972"/>
        </w:tabs>
        <w:rPr>
          <w:rFonts w:ascii="宋体" w:hAnsi="宋体"/>
          <w:sz w:val="28"/>
          <w:highlight w:val="none"/>
        </w:rPr>
      </w:pPr>
      <w:r>
        <w:rPr>
          <w:rFonts w:hint="eastAsia" w:ascii="宋体" w:hAnsi="宋体"/>
          <w:sz w:val="28"/>
          <w:highlight w:val="none"/>
        </w:rPr>
        <w:t>投标报价表</w:t>
      </w:r>
    </w:p>
    <w:p>
      <w:pPr>
        <w:numPr>
          <w:ilvl w:val="0"/>
          <w:numId w:val="2"/>
        </w:numPr>
        <w:tabs>
          <w:tab w:val="left" w:pos="972"/>
        </w:tabs>
        <w:rPr>
          <w:rFonts w:ascii="宋体" w:hAnsi="宋体"/>
          <w:sz w:val="28"/>
          <w:highlight w:val="none"/>
        </w:rPr>
      </w:pPr>
      <w:r>
        <w:rPr>
          <w:rFonts w:hint="eastAsia" w:ascii="宋体" w:hAnsi="宋体"/>
          <w:sz w:val="28"/>
          <w:highlight w:val="none"/>
        </w:rPr>
        <w:t>投标“</w:t>
      </w:r>
      <w:r>
        <w:rPr>
          <w:rFonts w:hint="eastAsia" w:ascii="宋体" w:hAnsi="宋体"/>
          <w:sz w:val="28"/>
          <w:highlight w:val="none"/>
          <w:lang w:eastAsia="zh-CN"/>
        </w:rPr>
        <w:t>▲</w:t>
      </w:r>
      <w:r>
        <w:rPr>
          <w:rFonts w:hint="eastAsia" w:ascii="宋体" w:hAnsi="宋体"/>
          <w:sz w:val="28"/>
          <w:highlight w:val="none"/>
        </w:rPr>
        <w:t>”条款响应一览表</w:t>
      </w:r>
    </w:p>
    <w:p>
      <w:pPr>
        <w:numPr>
          <w:ilvl w:val="0"/>
          <w:numId w:val="2"/>
        </w:numPr>
        <w:tabs>
          <w:tab w:val="left" w:pos="972"/>
        </w:tabs>
        <w:rPr>
          <w:rFonts w:ascii="宋体" w:hAnsi="宋体"/>
          <w:sz w:val="28"/>
          <w:highlight w:val="none"/>
        </w:rPr>
      </w:pPr>
      <w:r>
        <w:rPr>
          <w:rFonts w:hint="eastAsia" w:ascii="宋体" w:hAnsi="宋体"/>
          <w:sz w:val="28"/>
          <w:highlight w:val="none"/>
        </w:rPr>
        <w:t>中标供应商澄清函</w:t>
      </w:r>
    </w:p>
    <w:p>
      <w:pPr>
        <w:numPr>
          <w:ilvl w:val="0"/>
          <w:numId w:val="2"/>
        </w:numPr>
        <w:tabs>
          <w:tab w:val="left" w:pos="972"/>
        </w:tabs>
        <w:rPr>
          <w:rFonts w:ascii="宋体" w:hAnsi="宋体"/>
          <w:sz w:val="28"/>
          <w:highlight w:val="none"/>
        </w:rPr>
      </w:pPr>
      <w:r>
        <w:rPr>
          <w:rFonts w:hint="eastAsia" w:ascii="宋体" w:hAnsi="宋体"/>
          <w:sz w:val="28"/>
          <w:highlight w:val="none"/>
        </w:rPr>
        <w:t>安全保障措施方案</w:t>
      </w:r>
    </w:p>
    <w:p>
      <w:pPr>
        <w:pStyle w:val="2"/>
        <w:ind w:firstLine="0" w:firstLineChars="0"/>
        <w:rPr>
          <w:highlight w:val="none"/>
        </w:rPr>
        <w:sectPr>
          <w:pgSz w:w="11906" w:h="16838"/>
          <w:pgMar w:top="1135" w:right="1135" w:bottom="1135" w:left="1135" w:header="685" w:footer="567" w:gutter="0"/>
          <w:cols w:space="720" w:num="1"/>
          <w:docGrid w:type="lines" w:linePitch="312" w:charSpace="0"/>
        </w:sectPr>
      </w:pPr>
    </w:p>
    <w:p>
      <w:pPr>
        <w:rPr>
          <w:rFonts w:eastAsia="黑体"/>
          <w:sz w:val="48"/>
          <w:highlight w:val="none"/>
        </w:rPr>
      </w:pPr>
    </w:p>
    <w:p>
      <w:pPr>
        <w:jc w:val="center"/>
        <w:rPr>
          <w:rFonts w:eastAsia="黑体"/>
          <w:sz w:val="48"/>
          <w:highlight w:val="none"/>
        </w:rPr>
      </w:pPr>
    </w:p>
    <w:p>
      <w:pPr>
        <w:jc w:val="center"/>
        <w:rPr>
          <w:rFonts w:eastAsia="黑体"/>
          <w:sz w:val="32"/>
          <w:highlight w:val="none"/>
        </w:rPr>
      </w:pPr>
      <w:r>
        <w:rPr>
          <w:rFonts w:eastAsia="黑体"/>
          <w:sz w:val="48"/>
          <w:highlight w:val="none"/>
        </w:rPr>
        <w:t>电 梯 保 养 合 同</w:t>
      </w:r>
    </w:p>
    <w:p>
      <w:pPr>
        <w:ind w:left="4250" w:firstLine="425"/>
        <w:rPr>
          <w:sz w:val="28"/>
          <w:highlight w:val="none"/>
        </w:rPr>
      </w:pPr>
      <w:r>
        <w:rPr>
          <w:highlight w:val="none"/>
        </w:rPr>
        <w:t xml:space="preserve">           </w:t>
      </w:r>
      <w:r>
        <w:rPr>
          <w:sz w:val="28"/>
          <w:highlight w:val="none"/>
        </w:rPr>
        <w:t xml:space="preserve">   </w:t>
      </w:r>
    </w:p>
    <w:p>
      <w:pPr>
        <w:rPr>
          <w:sz w:val="30"/>
          <w:szCs w:val="30"/>
          <w:highlight w:val="none"/>
        </w:rPr>
      </w:pPr>
      <w:r>
        <w:rPr>
          <w:sz w:val="28"/>
          <w:highlight w:val="none"/>
        </w:rPr>
        <w:t>甲  方：</w:t>
      </w:r>
      <w:r>
        <w:rPr>
          <w:rFonts w:hint="eastAsia"/>
          <w:sz w:val="28"/>
          <w:highlight w:val="none"/>
        </w:rPr>
        <w:t>广西南宁技师学院</w:t>
      </w:r>
    </w:p>
    <w:p>
      <w:pPr>
        <w:rPr>
          <w:sz w:val="30"/>
          <w:szCs w:val="30"/>
          <w:highlight w:val="none"/>
        </w:rPr>
      </w:pPr>
      <w:r>
        <w:rPr>
          <w:sz w:val="28"/>
          <w:highlight w:val="none"/>
        </w:rPr>
        <w:t>乙  方：</w:t>
      </w:r>
    </w:p>
    <w:p>
      <w:pPr>
        <w:rPr>
          <w:highlight w:val="none"/>
        </w:rPr>
      </w:pPr>
    </w:p>
    <w:p>
      <w:pPr>
        <w:pStyle w:val="32"/>
        <w:widowControl w:val="0"/>
        <w:spacing w:before="0" w:beforeAutospacing="0" w:after="120" w:afterAutospacing="0"/>
        <w:ind w:left="708" w:leftChars="337" w:firstLine="480" w:firstLineChars="200"/>
        <w:rPr>
          <w:kern w:val="2"/>
          <w:sz w:val="28"/>
          <w:szCs w:val="28"/>
          <w:highlight w:val="none"/>
        </w:rPr>
      </w:pPr>
      <w:r>
        <w:rPr>
          <w:highlight w:val="none"/>
        </w:rPr>
        <w:t>为了保证电梯的安全正常运行，减少电梯的故障出现，避免电梯的事故发生，延长电梯的使用寿命，依照《中</w:t>
      </w:r>
      <w:r>
        <w:rPr>
          <w:rFonts w:hint="eastAsia"/>
          <w:highlight w:val="none"/>
          <w:lang w:val="en-US" w:eastAsia="zh-CN"/>
        </w:rPr>
        <w:t>华</w:t>
      </w:r>
      <w:r>
        <w:rPr>
          <w:highlight w:val="none"/>
        </w:rPr>
        <w:t>人民共和国特种设备安全法》、《中华人民共和国</w:t>
      </w:r>
      <w:r>
        <w:rPr>
          <w:rFonts w:hint="eastAsia"/>
          <w:highlight w:val="none"/>
        </w:rPr>
        <w:t>民法典</w:t>
      </w:r>
      <w:r>
        <w:rPr>
          <w:highlight w:val="none"/>
        </w:rPr>
        <w:t>》</w:t>
      </w:r>
      <w:r>
        <w:rPr>
          <w:rFonts w:hint="eastAsia"/>
          <w:highlight w:val="none"/>
        </w:rPr>
        <w:t>以</w:t>
      </w:r>
      <w:r>
        <w:rPr>
          <w:highlight w:val="none"/>
        </w:rPr>
        <w:t>及</w:t>
      </w:r>
      <w:r>
        <w:rPr>
          <w:rFonts w:hint="eastAsia"/>
          <w:highlight w:val="none"/>
        </w:rPr>
        <w:t>广西南宁技师学院招标文件的要求（项目名称：广西南宁技师学院202</w:t>
      </w:r>
      <w:r>
        <w:rPr>
          <w:rFonts w:hint="eastAsia"/>
          <w:highlight w:val="none"/>
          <w:lang w:val="en-US" w:eastAsia="zh-CN"/>
        </w:rPr>
        <w:t>5</w:t>
      </w:r>
      <w:r>
        <w:rPr>
          <w:rFonts w:hint="eastAsia"/>
          <w:highlight w:val="none"/>
        </w:rPr>
        <w:t>年新校区28台电梯维保服务、项目编号：</w:t>
      </w:r>
      <w:r>
        <w:rPr>
          <w:rFonts w:hint="eastAsia"/>
          <w:highlight w:val="none"/>
          <w:u w:val="single"/>
        </w:rPr>
        <w:t xml:space="preserve">         </w:t>
      </w:r>
      <w:r>
        <w:rPr>
          <w:rFonts w:hint="eastAsia"/>
          <w:highlight w:val="none"/>
        </w:rPr>
        <w:t>）</w:t>
      </w:r>
      <w:r>
        <w:rPr>
          <w:highlight w:val="none"/>
        </w:rPr>
        <w:t>，甲、乙双方经平等、自愿公平和诚信原则协商，就电梯日常维修维护的有关事宜协商订立本合同。</w:t>
      </w:r>
    </w:p>
    <w:p>
      <w:pPr>
        <w:rPr>
          <w:sz w:val="24"/>
          <w:highlight w:val="none"/>
        </w:rPr>
      </w:pPr>
      <w:r>
        <w:rPr>
          <w:rFonts w:hint="eastAsia"/>
          <w:sz w:val="24"/>
          <w:highlight w:val="none"/>
        </w:rPr>
        <w:t>一、服务名称</w:t>
      </w:r>
    </w:p>
    <w:p>
      <w:pPr>
        <w:rPr>
          <w:sz w:val="24"/>
          <w:highlight w:val="none"/>
        </w:rPr>
      </w:pPr>
      <w:r>
        <w:rPr>
          <w:rFonts w:hint="eastAsia"/>
          <w:sz w:val="24"/>
          <w:highlight w:val="none"/>
        </w:rPr>
        <w:t xml:space="preserve"> </w:t>
      </w:r>
      <w:r>
        <w:rPr>
          <w:rFonts w:hint="eastAsia"/>
          <w:highlight w:val="none"/>
        </w:rPr>
        <w:t>广西南宁技师学院202</w:t>
      </w:r>
      <w:r>
        <w:rPr>
          <w:rFonts w:hint="eastAsia"/>
          <w:highlight w:val="none"/>
          <w:lang w:val="en-US" w:eastAsia="zh-CN"/>
        </w:rPr>
        <w:t>5</w:t>
      </w:r>
      <w:r>
        <w:rPr>
          <w:rFonts w:hint="eastAsia"/>
          <w:highlight w:val="none"/>
        </w:rPr>
        <w:t>年新校区28台电梯维保服务</w:t>
      </w:r>
    </w:p>
    <w:p>
      <w:pPr>
        <w:widowControl/>
        <w:spacing w:line="460" w:lineRule="exac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二、服务内容及要求</w:t>
      </w:r>
    </w:p>
    <w:p>
      <w:pPr>
        <w:spacing w:line="400" w:lineRule="exact"/>
        <w:ind w:left="420"/>
        <w:jc w:val="left"/>
        <w:rPr>
          <w:rFonts w:ascii="宋体" w:hAnsi="宋体" w:cs="宋体"/>
          <w:color w:val="000000"/>
          <w:highlight w:val="none"/>
        </w:rPr>
      </w:pPr>
      <w:r>
        <w:rPr>
          <w:rFonts w:hint="eastAsia" w:ascii="宋体" w:hAnsi="宋体" w:cs="宋体"/>
          <w:color w:val="000000"/>
          <w:highlight w:val="none"/>
        </w:rPr>
        <w:t>1、维护保养对象</w:t>
      </w:r>
    </w:p>
    <w:tbl>
      <w:tblPr>
        <w:tblStyle w:val="35"/>
        <w:tblW w:w="9263"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1418"/>
        <w:gridCol w:w="1559"/>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梯号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品牌</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层/站/门</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速度</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载重量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教工管理用房L1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11/11/11</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1.75m∕s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教工管理用房L2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11/11/11</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1.75m∕s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综合楼L1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综合楼L2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综合楼L3</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17/17/17</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综合楼L4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18/18/18</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综合楼L5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18/18/18</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图书馆</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学生活动中心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学生活动中心</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怡达快速</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hint="eastAsia" w:ascii="宋体" w:hAnsi="宋体" w:cs="宋体"/>
                <w:color w:val="000000"/>
                <w:sz w:val="24"/>
                <w:highlight w:val="none"/>
              </w:rPr>
              <w:t>1号</w:t>
            </w:r>
            <w:r>
              <w:rPr>
                <w:rFonts w:ascii="宋体" w:hAnsi="宋体" w:cs="宋体"/>
                <w:color w:val="000000"/>
                <w:sz w:val="24"/>
                <w:highlight w:val="none"/>
              </w:rPr>
              <w:t>机械</w:t>
            </w:r>
            <w:r>
              <w:rPr>
                <w:rFonts w:hint="eastAsia" w:ascii="宋体" w:hAnsi="宋体" w:cs="宋体"/>
                <w:color w:val="000000"/>
                <w:sz w:val="24"/>
                <w:highlight w:val="none"/>
              </w:rPr>
              <w:t>/汽修</w:t>
            </w:r>
            <w:r>
              <w:rPr>
                <w:rFonts w:ascii="宋体" w:hAnsi="宋体" w:cs="宋体"/>
                <w:color w:val="000000"/>
                <w:sz w:val="24"/>
                <w:highlight w:val="none"/>
              </w:rPr>
              <w:t>实训楼</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美迪斯</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6/6/6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3000kg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hint="eastAsia" w:ascii="宋体" w:hAnsi="宋体" w:cs="宋体"/>
                <w:b/>
                <w:color w:val="000000"/>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hint="eastAsia" w:ascii="宋体" w:hAnsi="宋体" w:cs="宋体"/>
                <w:color w:val="000000"/>
                <w:sz w:val="24"/>
                <w:highlight w:val="none"/>
              </w:rPr>
              <w:t>2号机械/商务</w:t>
            </w:r>
            <w:r>
              <w:rPr>
                <w:rFonts w:ascii="宋体" w:hAnsi="宋体" w:cs="宋体"/>
                <w:color w:val="000000"/>
                <w:sz w:val="24"/>
                <w:highlight w:val="none"/>
              </w:rPr>
              <w:t>实训楼</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美迪斯</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6/6/6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3000kg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hint="eastAsia" w:ascii="宋体" w:hAnsi="宋体" w:cs="宋体"/>
                <w:b/>
                <w:color w:val="000000"/>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一区</w:t>
            </w:r>
            <w:r>
              <w:rPr>
                <w:rFonts w:hint="eastAsia" w:ascii="宋体" w:hAnsi="宋体" w:cs="宋体"/>
                <w:color w:val="000000"/>
                <w:sz w:val="24"/>
                <w:highlight w:val="none"/>
              </w:rPr>
              <w:t>食</w:t>
            </w:r>
            <w:r>
              <w:rPr>
                <w:rFonts w:ascii="宋体" w:hAnsi="宋体" w:cs="宋体"/>
                <w:color w:val="000000"/>
                <w:sz w:val="24"/>
                <w:highlight w:val="none"/>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3/3/3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hint="eastAsia" w:ascii="宋体" w:hAnsi="宋体" w:cs="宋体"/>
                <w:b/>
                <w:color w:val="00000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二区</w:t>
            </w:r>
            <w:r>
              <w:rPr>
                <w:rFonts w:hint="eastAsia" w:ascii="宋体" w:hAnsi="宋体" w:cs="宋体"/>
                <w:color w:val="000000"/>
                <w:sz w:val="24"/>
                <w:highlight w:val="none"/>
              </w:rPr>
              <w:t>食</w:t>
            </w:r>
            <w:r>
              <w:rPr>
                <w:rFonts w:ascii="宋体" w:hAnsi="宋体" w:cs="宋体"/>
                <w:color w:val="000000"/>
                <w:sz w:val="24"/>
                <w:highlight w:val="none"/>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hint="eastAsia" w:ascii="宋体" w:hAnsi="宋体" w:cs="宋体"/>
                <w:b/>
                <w:color w:val="000000"/>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hint="eastAsia" w:ascii="宋体" w:hAnsi="宋体" w:cs="宋体"/>
                <w:color w:val="000000"/>
                <w:sz w:val="24"/>
                <w:highlight w:val="none"/>
              </w:rPr>
              <w:t>三</w:t>
            </w:r>
            <w:r>
              <w:rPr>
                <w:rFonts w:ascii="宋体" w:hAnsi="宋体" w:cs="宋体"/>
                <w:color w:val="000000"/>
                <w:sz w:val="24"/>
                <w:highlight w:val="none"/>
              </w:rPr>
              <w:t>区</w:t>
            </w:r>
            <w:r>
              <w:rPr>
                <w:rFonts w:hint="eastAsia" w:ascii="宋体" w:hAnsi="宋体" w:cs="宋体"/>
                <w:color w:val="000000"/>
                <w:sz w:val="24"/>
                <w:highlight w:val="none"/>
              </w:rPr>
              <w:t>食</w:t>
            </w:r>
            <w:r>
              <w:rPr>
                <w:rFonts w:ascii="宋体" w:hAnsi="宋体" w:cs="宋体"/>
                <w:color w:val="000000"/>
                <w:sz w:val="24"/>
                <w:highlight w:val="none"/>
              </w:rPr>
              <w:t>堂</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4/4/4</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1000kg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一体化实训楼</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施密斯</w:t>
            </w:r>
          </w:p>
        </w:tc>
        <w:tc>
          <w:tcPr>
            <w:tcW w:w="15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5/5/6</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0.5m∕s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color w:val="000000"/>
                <w:sz w:val="24"/>
                <w:highlight w:val="none"/>
              </w:rPr>
              <w:t>4000kg</w:t>
            </w: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ascii="宋体" w:hAnsi="宋体" w:cs="宋体"/>
                <w:b/>
                <w:bCs/>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一区</w:t>
            </w:r>
            <w:r>
              <w:rPr>
                <w:rFonts w:hint="eastAsia" w:ascii="宋体" w:hAnsi="宋体" w:cs="宋体"/>
                <w:color w:val="000000"/>
                <w:sz w:val="24"/>
                <w:highlight w:val="none"/>
              </w:rPr>
              <w:t>食</w:t>
            </w:r>
            <w:r>
              <w:rPr>
                <w:rFonts w:ascii="宋体" w:hAnsi="宋体" w:cs="宋体"/>
                <w:color w:val="000000"/>
                <w:sz w:val="24"/>
                <w:highlight w:val="none"/>
              </w:rPr>
              <w:t>堂</w:t>
            </w:r>
            <w:r>
              <w:rPr>
                <w:rFonts w:hint="eastAsia" w:ascii="宋体" w:hAnsi="宋体" w:cs="宋体"/>
                <w:color w:val="000000"/>
                <w:sz w:val="24"/>
                <w:highlight w:val="none"/>
              </w:rPr>
              <w:t>杂物梯</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hint="eastAsia" w:ascii="宋体" w:hAnsi="宋体" w:cs="宋体"/>
                <w:color w:val="000000"/>
                <w:sz w:val="24"/>
                <w:highlight w:val="none"/>
              </w:rPr>
              <w:t>3</w:t>
            </w:r>
            <w:r>
              <w:rPr>
                <w:rFonts w:ascii="宋体" w:hAnsi="宋体" w:cs="宋体"/>
                <w:color w:val="000000"/>
                <w:sz w:val="24"/>
                <w:highlight w:val="none"/>
              </w:rPr>
              <w:t>/</w:t>
            </w:r>
            <w:r>
              <w:rPr>
                <w:rFonts w:hint="eastAsia" w:ascii="宋体" w:hAnsi="宋体" w:cs="宋体"/>
                <w:color w:val="000000"/>
                <w:sz w:val="24"/>
                <w:highlight w:val="none"/>
              </w:rPr>
              <w:t>3</w:t>
            </w:r>
            <w:r>
              <w:rPr>
                <w:rFonts w:ascii="宋体" w:hAnsi="宋体" w:cs="宋体"/>
                <w:color w:val="000000"/>
                <w:sz w:val="24"/>
                <w:highlight w:val="none"/>
              </w:rPr>
              <w:t>/</w:t>
            </w:r>
            <w:r>
              <w:rPr>
                <w:rFonts w:hint="eastAsia" w:ascii="宋体" w:hAnsi="宋体" w:cs="宋体"/>
                <w:color w:val="000000"/>
                <w:sz w:val="24"/>
                <w:highlight w:val="none"/>
              </w:rPr>
              <w:t>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color w:val="000000"/>
                <w:sz w:val="24"/>
                <w:highlight w:val="none"/>
              </w:rPr>
              <w:t>0</w:t>
            </w:r>
            <w:r>
              <w:rPr>
                <w:rFonts w:ascii="宋体" w:hAnsi="宋体" w:cs="宋体"/>
                <w:color w:val="000000"/>
                <w:sz w:val="24"/>
                <w:highlight w:val="none"/>
              </w:rPr>
              <w:t>.</w:t>
            </w:r>
            <w:r>
              <w:rPr>
                <w:rFonts w:hint="eastAsia" w:ascii="宋体" w:hAnsi="宋体" w:cs="宋体"/>
                <w:color w:val="000000"/>
                <w:sz w:val="24"/>
                <w:highlight w:val="none"/>
              </w:rPr>
              <w:t>4</w:t>
            </w:r>
            <w:r>
              <w:rPr>
                <w:rFonts w:ascii="宋体" w:hAnsi="宋体" w:cs="宋体"/>
                <w:color w:val="000000"/>
                <w:sz w:val="24"/>
                <w:highlight w:val="none"/>
              </w:rPr>
              <w:t>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color w:val="000000"/>
                <w:sz w:val="24"/>
                <w:highlight w:val="none"/>
              </w:rPr>
              <w:t>2</w:t>
            </w:r>
            <w:r>
              <w:rPr>
                <w:rFonts w:ascii="宋体" w:hAnsi="宋体" w:cs="宋体"/>
                <w:color w:val="000000"/>
                <w:sz w:val="24"/>
                <w:highlight w:val="none"/>
              </w:rPr>
              <w:t>00kg</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 w:val="24"/>
                <w:highlight w:val="none"/>
              </w:rPr>
            </w:pPr>
            <w:r>
              <w:rPr>
                <w:rFonts w:hint="eastAsia"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color w:val="000000"/>
                <w:sz w:val="24"/>
                <w:highlight w:val="none"/>
              </w:rPr>
              <w:t>三</w:t>
            </w:r>
            <w:r>
              <w:rPr>
                <w:rFonts w:ascii="宋体" w:hAnsi="宋体" w:cs="宋体"/>
                <w:color w:val="000000"/>
                <w:sz w:val="24"/>
                <w:highlight w:val="none"/>
              </w:rPr>
              <w:t>区</w:t>
            </w:r>
            <w:r>
              <w:rPr>
                <w:rFonts w:hint="eastAsia" w:ascii="宋体" w:hAnsi="宋体" w:cs="宋体"/>
                <w:color w:val="000000"/>
                <w:sz w:val="24"/>
                <w:highlight w:val="none"/>
              </w:rPr>
              <w:t>食</w:t>
            </w:r>
            <w:r>
              <w:rPr>
                <w:rFonts w:ascii="宋体" w:hAnsi="宋体" w:cs="宋体"/>
                <w:color w:val="000000"/>
                <w:sz w:val="24"/>
                <w:highlight w:val="none"/>
              </w:rPr>
              <w:t>堂</w:t>
            </w:r>
            <w:r>
              <w:rPr>
                <w:rFonts w:hint="eastAsia" w:ascii="宋体" w:hAnsi="宋体" w:cs="宋体"/>
                <w:color w:val="000000"/>
                <w:sz w:val="24"/>
                <w:highlight w:val="none"/>
              </w:rPr>
              <w:t>杂物梯</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西继迅达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hint="eastAsia" w:ascii="宋体" w:hAnsi="宋体" w:cs="宋体"/>
                <w:color w:val="000000"/>
                <w:sz w:val="24"/>
                <w:highlight w:val="none"/>
              </w:rPr>
              <w:t>3</w:t>
            </w:r>
            <w:r>
              <w:rPr>
                <w:rFonts w:ascii="宋体" w:hAnsi="宋体" w:cs="宋体"/>
                <w:color w:val="000000"/>
                <w:sz w:val="24"/>
                <w:highlight w:val="none"/>
              </w:rPr>
              <w:t>/</w:t>
            </w:r>
            <w:r>
              <w:rPr>
                <w:rFonts w:hint="eastAsia" w:ascii="宋体" w:hAnsi="宋体" w:cs="宋体"/>
                <w:color w:val="000000"/>
                <w:sz w:val="24"/>
                <w:highlight w:val="none"/>
              </w:rPr>
              <w:t>3</w:t>
            </w:r>
            <w:r>
              <w:rPr>
                <w:rFonts w:ascii="宋体" w:hAnsi="宋体" w:cs="宋体"/>
                <w:color w:val="000000"/>
                <w:sz w:val="24"/>
                <w:highlight w:val="none"/>
              </w:rPr>
              <w:t>/</w:t>
            </w:r>
            <w:r>
              <w:rPr>
                <w:rFonts w:hint="eastAsia" w:ascii="宋体" w:hAnsi="宋体" w:cs="宋体"/>
                <w:color w:val="000000"/>
                <w:sz w:val="24"/>
                <w:highlight w:val="none"/>
              </w:rPr>
              <w:t>3</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color w:val="000000"/>
                <w:sz w:val="24"/>
                <w:highlight w:val="none"/>
              </w:rPr>
              <w:t>0</w:t>
            </w:r>
            <w:r>
              <w:rPr>
                <w:rFonts w:ascii="宋体" w:hAnsi="宋体" w:cs="宋体"/>
                <w:color w:val="000000"/>
                <w:sz w:val="24"/>
                <w:highlight w:val="none"/>
              </w:rPr>
              <w:t>.</w:t>
            </w:r>
            <w:r>
              <w:rPr>
                <w:rFonts w:hint="eastAsia" w:ascii="宋体" w:hAnsi="宋体" w:cs="宋体"/>
                <w:color w:val="000000"/>
                <w:sz w:val="24"/>
                <w:highlight w:val="none"/>
              </w:rPr>
              <w:t>4</w:t>
            </w:r>
            <w:r>
              <w:rPr>
                <w:rFonts w:ascii="宋体" w:hAnsi="宋体" w:cs="宋体"/>
                <w:color w:val="000000"/>
                <w:sz w:val="24"/>
                <w:highlight w:val="none"/>
              </w:rPr>
              <w:t>m∕s</w:t>
            </w: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color w:val="000000"/>
                <w:sz w:val="24"/>
                <w:highlight w:val="none"/>
              </w:rPr>
              <w:t>2</w:t>
            </w:r>
            <w:r>
              <w:rPr>
                <w:rFonts w:ascii="宋体" w:hAnsi="宋体" w:cs="宋体"/>
                <w:color w:val="000000"/>
                <w:sz w:val="24"/>
                <w:highlight w:val="none"/>
              </w:rPr>
              <w:t>00kg</w:t>
            </w:r>
          </w:p>
        </w:tc>
        <w:tc>
          <w:tcPr>
            <w:tcW w:w="992"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r>
              <w:rPr>
                <w:rFonts w:hint="eastAsia" w:ascii="宋体" w:hAnsi="宋体" w:cs="宋体"/>
                <w:b/>
                <w:color w:val="00000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r>
              <w:rPr>
                <w:rFonts w:ascii="宋体" w:hAnsi="宋体" w:cs="宋体"/>
                <w:color w:val="000000"/>
                <w:sz w:val="24"/>
                <w:highlight w:val="none"/>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31"/>
              </w:tabs>
              <w:jc w:val="left"/>
              <w:rPr>
                <w:rFonts w:ascii="宋体" w:hAnsi="宋体" w:cs="宋体"/>
                <w:b/>
                <w:color w:val="000000"/>
                <w:sz w:val="24"/>
                <w:highlight w:val="none"/>
              </w:rPr>
            </w:pPr>
            <w:r>
              <w:rPr>
                <w:rFonts w:hint="eastAsia" w:ascii="宋体" w:hAnsi="宋体" w:cs="宋体"/>
                <w:b/>
                <w:color w:val="000000"/>
                <w:sz w:val="24"/>
                <w:highlight w:val="none"/>
              </w:rPr>
              <w:tab/>
            </w:r>
            <w:r>
              <w:rPr>
                <w:rFonts w:hint="eastAsia" w:ascii="宋体" w:hAnsi="宋体" w:cs="宋体"/>
                <w:b/>
                <w:color w:val="000000"/>
                <w:sz w:val="24"/>
                <w:highlight w:val="none"/>
              </w:rPr>
              <w:t>28</w:t>
            </w:r>
          </w:p>
        </w:tc>
      </w:tr>
    </w:tbl>
    <w:p>
      <w:pPr>
        <w:spacing w:line="400" w:lineRule="exact"/>
        <w:ind w:left="420"/>
        <w:jc w:val="left"/>
        <w:rPr>
          <w:rFonts w:ascii="宋体" w:hAnsi="宋体" w:cs="宋体"/>
          <w:color w:val="000000"/>
          <w:sz w:val="24"/>
          <w:highlight w:val="none"/>
        </w:rPr>
      </w:pPr>
    </w:p>
    <w:p>
      <w:pPr>
        <w:spacing w:line="400" w:lineRule="exact"/>
        <w:ind w:left="420"/>
        <w:jc w:val="left"/>
        <w:rPr>
          <w:rFonts w:ascii="宋体" w:hAnsi="宋体" w:cs="宋体"/>
          <w:color w:val="000000"/>
          <w:sz w:val="24"/>
          <w:highlight w:val="none"/>
        </w:rPr>
      </w:pPr>
    </w:p>
    <w:p>
      <w:pPr>
        <w:spacing w:line="400" w:lineRule="exact"/>
        <w:ind w:left="420"/>
        <w:jc w:val="left"/>
        <w:rPr>
          <w:rFonts w:ascii="宋体" w:hAnsi="宋体" w:cs="宋体"/>
          <w:color w:val="000000"/>
          <w:sz w:val="24"/>
          <w:highlight w:val="none"/>
        </w:rPr>
      </w:pPr>
      <w:r>
        <w:rPr>
          <w:rFonts w:hint="eastAsia" w:ascii="宋体" w:hAnsi="宋体" w:cs="宋体"/>
          <w:color w:val="000000"/>
          <w:sz w:val="24"/>
          <w:highlight w:val="none"/>
        </w:rPr>
        <w:t>2、服务内容</w:t>
      </w:r>
    </w:p>
    <w:p>
      <w:pPr>
        <w:widowControl/>
        <w:tabs>
          <w:tab w:val="left" w:pos="360"/>
        </w:tabs>
        <w:overflowPunct w:val="0"/>
        <w:autoSpaceDE w:val="0"/>
        <w:autoSpaceDN w:val="0"/>
        <w:spacing w:line="400" w:lineRule="exact"/>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（1）、确保保养梯的安全正常使用，依据电/扶梯保养周期表内容定期检查、调整各安全部件以及各活动部件并进行定期清理润滑。</w:t>
      </w:r>
    </w:p>
    <w:p>
      <w:pPr>
        <w:spacing w:line="40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负责设备日常小修及24小时应急修理服务，提供24小时报修热线电话服务，对于有关电梯、扶梯及人行道运行故障应急请求，做到立即回答，在45分钟内赶到现场进行处理，一般故障1小时内修复,确保电梯安全、正常运行，电梯困人30分钟内赶到现场</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提供故障排除、故障修理服务和特殊事件驻场服务。</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（3）、维保时间：维保工作安排在甲方白天用梯低峰期，错过上下班高峰期和夜晚休息时间。</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（4）、定期报告保养设备的运行情况、零部件使用情况、易损件的更换情况，并做好详细记录。提供使用建议并解答咨询。指导甲方人员正确操作及安全使用设备。</w:t>
      </w:r>
    </w:p>
    <w:p>
      <w:pPr>
        <w:widowControl/>
        <w:overflowPunct w:val="0"/>
        <w:autoSpaceDE w:val="0"/>
        <w:autoSpaceDN w:val="0"/>
        <w:spacing w:line="400" w:lineRule="exact"/>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（5）、每台电/扶梯每间隔15天内一次维护保养，保养按电梯保养周期表实施。</w:t>
      </w:r>
    </w:p>
    <w:p>
      <w:pPr>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（6）、负责通过市场监督管理局的年检，保证取得电梯《合格证》。检验相关费用由校方负责。</w:t>
      </w:r>
    </w:p>
    <w:p>
      <w:pPr>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3、服务方案</w:t>
      </w:r>
    </w:p>
    <w:p>
      <w:pPr>
        <w:tabs>
          <w:tab w:val="left" w:pos="5490"/>
        </w:tabs>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（1）、定期对电（扶）梯设备进行保养、检查和维修并填写《保养报告》作保养记录。维护保养质量符合有关标准及规范要求。</w:t>
      </w:r>
    </w:p>
    <w:p>
      <w:pPr>
        <w:tabs>
          <w:tab w:val="left" w:pos="5490"/>
        </w:tabs>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（2）、定期对电梯设备进行安全检查和性能测试。</w:t>
      </w:r>
    </w:p>
    <w:p>
      <w:pPr>
        <w:tabs>
          <w:tab w:val="left" w:pos="5490"/>
        </w:tabs>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（3）、作出合理配件储备计划，以供必要之时尽快提供给甲方。</w:t>
      </w:r>
    </w:p>
    <w:p>
      <w:pPr>
        <w:tabs>
          <w:tab w:val="left" w:pos="5490"/>
        </w:tabs>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（4）、在维修保养期间，确保所有的电梯设备符合政府部门的相关规定；如果由于政府部门的政策改变，及时做出整改。</w:t>
      </w:r>
    </w:p>
    <w:p>
      <w:pPr>
        <w:tabs>
          <w:tab w:val="left" w:pos="5490"/>
        </w:tabs>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（5）、保持设备处于安全标准及其性能标准，并处于最佳的运行状态。</w:t>
      </w:r>
    </w:p>
    <w:p>
      <w:pPr>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4、服务承诺</w:t>
      </w:r>
    </w:p>
    <w:p>
      <w:pPr>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）、在正常的维修保养期间, 维修保养人员对每台电梯将实行每月不少于二次的主动预防性维修保养以减少或杜绝电梯故障的发生。 任何元器件损坏, 须经甲方书面确认后执行更换, 配件费用另计。</w:t>
      </w:r>
    </w:p>
    <w:p>
      <w:pPr>
        <w:spacing w:line="4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 xml:space="preserve">）、上述全部的售后服务工作, 将直接接受用户的监督与考核。 每台电梯均设专门的维修档案, 由用户与服务机构共同分别保管。 </w:t>
      </w:r>
    </w:p>
    <w:p>
      <w:pPr>
        <w:spacing w:line="3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5、提供必要的安全保障措施</w:t>
      </w:r>
      <w:r>
        <w:rPr>
          <w:rFonts w:hint="eastAsia" w:ascii="宋体" w:hAnsi="宋体" w:cs="宋体"/>
          <w:sz w:val="24"/>
          <w:highlight w:val="none"/>
        </w:rPr>
        <w:t>方案</w:t>
      </w:r>
      <w:r>
        <w:rPr>
          <w:rFonts w:hint="eastAsia" w:ascii="宋体" w:hAnsi="宋体" w:cs="宋体"/>
          <w:color w:val="000000"/>
          <w:sz w:val="24"/>
          <w:highlight w:val="none"/>
        </w:rPr>
        <w:t>。</w:t>
      </w:r>
    </w:p>
    <w:p>
      <w:pPr>
        <w:spacing w:line="3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6、维护保养项目内容及要求：</w:t>
      </w:r>
    </w:p>
    <w:p>
      <w:pPr>
        <w:spacing w:line="320" w:lineRule="exact"/>
        <w:ind w:firstLine="480" w:firstLineChars="200"/>
        <w:rPr>
          <w:rFonts w:ascii="宋体" w:hAnsi="宋体" w:cs="宋体"/>
          <w:color w:val="000000"/>
          <w:sz w:val="24"/>
          <w:highlight w:val="none"/>
        </w:rPr>
      </w:pPr>
    </w:p>
    <w:tbl>
      <w:tblPr>
        <w:tblStyle w:val="35"/>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04"/>
        <w:gridCol w:w="3046"/>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23" w:type="dxa"/>
          </w:tcPr>
          <w:p>
            <w:pPr>
              <w:jc w:val="center"/>
              <w:rPr>
                <w:rFonts w:ascii="宋体" w:hAnsi="宋体" w:cs="宋体"/>
                <w:b/>
                <w:color w:val="000000"/>
                <w:highlight w:val="none"/>
              </w:rPr>
            </w:pPr>
            <w:r>
              <w:rPr>
                <w:rFonts w:ascii="宋体" w:hAnsi="宋体" w:cs="宋体"/>
                <w:color w:val="000000"/>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AutoShape 3" hidden="1"/>
                      <wp:cNvGraphicFramePr/>
                      <a:graphic xmlns:a="http://schemas.openxmlformats.org/drawingml/2006/main">
                        <a:graphicData uri="http://schemas.microsoft.com/office/word/2010/wordprocessingShape">
                          <wps:wsp>
                            <wps:cNvSpPr/>
                            <wps:spPr>
                              <a:xfrm>
                                <a:off x="0" y="0"/>
                                <a:ext cx="635000" cy="635000"/>
                              </a:xfrm>
                              <a:custGeom>
                                <a:avLst/>
                                <a:gdLst/>
                                <a:ahLst/>
                                <a:cxnLst>
                                  <a:cxn ang="0">
                                    <a:pos x="0" y="0"/>
                                  </a:cxn>
                                  <a:cxn ang="0">
                                    <a:pos x="635000" y="0"/>
                                  </a:cxn>
                                  <a:cxn ang="0">
                                    <a:pos x="635000" y="635000"/>
                                  </a:cxn>
                                  <a:cxn ang="0">
                                    <a:pos x="0" y="635000"/>
                                  </a:cxn>
                                </a:cxnLst>
                                <a:rect l="0" t="0" r="0" b="0"/>
                                <a:pathLst>
                                  <a:path w="21600" h="21600">
                                    <a:moveTo>
                                      <a:pt x="0" y="0"/>
                                    </a:moveTo>
                                    <a:lnTo>
                                      <a:pt x="21600" y="0"/>
                                    </a:lnTo>
                                    <a:lnTo>
                                      <a:pt x="21600" y="21600"/>
                                    </a:lnTo>
                                    <a:lnTo>
                                      <a:pt x="0" y="21600"/>
                                    </a:lnTo>
                                    <a:lnTo>
                                      <a:pt x="0" y="0"/>
                                    </a:lnTo>
                                    <a:close/>
                                  </a:path>
                                </a:pathLst>
                              </a:cu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AutoShape 3" o:spid="_x0000_s1026" o:spt="100" style="position:absolute;left:0pt;margin-left:0pt;margin-top:0pt;height:50pt;width:50pt;visibility:hidden;z-index:251659264;mso-width-relative:page;mso-height-relative:page;" fillcolor="#FFFFFF" filled="t" stroked="t" coordsize="21600,21600" o:gfxdata="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Sst0q0gAAAAUBAAAPAAAAAAAAAAEAIAAAACIAAABkcnMvZG93bnJldi54bWxQSwEC&#10;FAAUAAAACACHTuJACO/lomwCAAAtBgAADgAAAAAAAAABACAAAAAhAQAAZHJzL2Uyb0RvYy54bWxQ&#10;SwUGAAAAAAYABgBZAQAA/wUAAAAA&#10;" path="m0,0l21600,0,21600,21600,0,21600,0,0xe">
                      <v:path o:connectlocs="0,0;635000,0;635000,635000;0,635000" o:connectangles="0,0,0,0"/>
                      <v:fill on="t" focussize="0,0"/>
                      <v:stroke color="#000000" joinstyle="round"/>
                      <v:imagedata o:title=""/>
                      <o:lock v:ext="edit" aspectratio="f"/>
                    </v:shape>
                  </w:pict>
                </mc:Fallback>
              </mc:AlternateContent>
            </w:r>
            <w:r>
              <w:rPr>
                <w:rFonts w:ascii="宋体" w:hAnsi="宋体" w:cs="宋体"/>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9948545</wp:posOffset>
                      </wp:positionH>
                      <wp:positionV relativeFrom="line">
                        <wp:posOffset>2103755</wp:posOffset>
                      </wp:positionV>
                      <wp:extent cx="228600" cy="1981200"/>
                      <wp:effectExtent l="0" t="0" r="0" b="0"/>
                      <wp:wrapNone/>
                      <wp:docPr id="2" name="1025"/>
                      <wp:cNvGraphicFramePr/>
                      <a:graphic xmlns:a="http://schemas.openxmlformats.org/drawingml/2006/main">
                        <a:graphicData uri="http://schemas.microsoft.com/office/word/2010/wordprocessingShape">
                          <wps:wsp>
                            <wps:cNvSpPr txBox="1">
                              <a:spLocks noChangeArrowheads="1"/>
                            </wps:cNvSpPr>
                            <wps:spPr bwMode="auto">
                              <a:xfrm>
                                <a:off x="0" y="0"/>
                                <a:ext cx="228600" cy="1981200"/>
                              </a:xfrm>
                              <a:prstGeom prst="rect">
                                <a:avLst/>
                              </a:prstGeom>
                              <a:solidFill>
                                <a:srgbClr val="FFFFFF"/>
                              </a:solidFill>
                              <a:ln>
                                <a:noFill/>
                              </a:ln>
                              <a:effectLst/>
                            </wps:spPr>
                            <wps:txbx>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wps:txbx>
                            <wps:bodyPr rot="0" vert="horz" wrap="square" lIns="0" tIns="0" rIns="0" bIns="0" anchor="t" anchorCtr="0" upright="1">
                              <a:noAutofit/>
                            </wps:bodyPr>
                          </wps:wsp>
                        </a:graphicData>
                      </a:graphic>
                    </wp:anchor>
                  </w:drawing>
                </mc:Choice>
                <mc:Fallback>
                  <w:pict>
                    <v:shape id="1025" o:spid="_x0000_s1026" o:spt="202" type="#_x0000_t202" style="position:absolute;left:0pt;margin-left:783.35pt;margin-top:165.65pt;height:156pt;width:18pt;mso-position-vertical-relative:line;z-index:251660288;mso-width-relative:page;mso-height-relative:page;" fillcolor="#FFFFFF" filled="t" stroked="f" coordsize="21600,21600" o:gfxdata="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Sfj02QAAAA0BAAAPAAAAAAAA&#10;AAEAIAAAACIAAABkcnMvZG93bnJldi54bWxQSwECFAAUAAAACACHTuJAf/BjZRECAAA1BAAADgAA&#10;AAAAAAABACAAAAAoAQAAZHJzL2Uyb0RvYy54bWxQSwUGAAAAAAYABgBZAQAAqwUAAAAA&#10;">
                      <v:fill on="t" focussize="0,0"/>
                      <v:stroke on="f"/>
                      <v:imagedata o:title=""/>
                      <o:lock v:ext="edit" aspectratio="f"/>
                      <v:textbox inset="0mm,0mm,0mm,0mm">
                        <w:txbxContent>
                          <w:p>
                            <w:pPr>
                              <w:jc w:val="center"/>
                              <w:rPr>
                                <w:b/>
                                <w:sz w:val="18"/>
                                <w:szCs w:val="18"/>
                              </w:rPr>
                            </w:pPr>
                            <w:r>
                              <w:rPr>
                                <w:rFonts w:hint="eastAsia"/>
                                <w:b/>
                                <w:sz w:val="18"/>
                                <w:szCs w:val="18"/>
                              </w:rPr>
                              <w:t>第</w:t>
                            </w:r>
                          </w:p>
                          <w:p>
                            <w:pPr>
                              <w:jc w:val="center"/>
                              <w:rPr>
                                <w:b/>
                                <w:sz w:val="18"/>
                                <w:szCs w:val="18"/>
                              </w:rPr>
                            </w:pPr>
                            <w:r>
                              <w:rPr>
                                <w:rFonts w:hint="eastAsia"/>
                                <w:b/>
                                <w:sz w:val="18"/>
                                <w:szCs w:val="18"/>
                              </w:rPr>
                              <w:t>一</w:t>
                            </w:r>
                          </w:p>
                          <w:p>
                            <w:pPr>
                              <w:jc w:val="center"/>
                              <w:rPr>
                                <w:b/>
                                <w:sz w:val="18"/>
                                <w:szCs w:val="18"/>
                              </w:rPr>
                            </w:pPr>
                            <w:r>
                              <w:rPr>
                                <w:rFonts w:hint="eastAsia"/>
                                <w:b/>
                                <w:sz w:val="18"/>
                                <w:szCs w:val="18"/>
                              </w:rPr>
                              <w:t>联</w:t>
                            </w:r>
                          </w:p>
                          <w:p>
                            <w:pPr>
                              <w:jc w:val="center"/>
                              <w:rPr>
                                <w:b/>
                                <w:sz w:val="18"/>
                                <w:szCs w:val="18"/>
                              </w:rPr>
                            </w:pPr>
                          </w:p>
                          <w:p>
                            <w:pPr>
                              <w:jc w:val="center"/>
                              <w:rPr>
                                <w:b/>
                                <w:sz w:val="18"/>
                                <w:szCs w:val="18"/>
                              </w:rPr>
                            </w:pPr>
                            <w:r>
                              <w:rPr>
                                <w:rFonts w:hint="eastAsia"/>
                                <w:b/>
                                <w:sz w:val="18"/>
                                <w:szCs w:val="18"/>
                              </w:rPr>
                              <w:t>客</w:t>
                            </w:r>
                          </w:p>
                          <w:p>
                            <w:pPr>
                              <w:jc w:val="center"/>
                              <w:rPr>
                                <w:b/>
                                <w:sz w:val="18"/>
                                <w:szCs w:val="18"/>
                              </w:rPr>
                            </w:pPr>
                            <w:r>
                              <w:rPr>
                                <w:rFonts w:hint="eastAsia"/>
                                <w:b/>
                                <w:sz w:val="18"/>
                                <w:szCs w:val="18"/>
                              </w:rPr>
                              <w:t>户</w:t>
                            </w:r>
                          </w:p>
                          <w:p>
                            <w:pPr>
                              <w:jc w:val="center"/>
                              <w:rPr>
                                <w:b/>
                                <w:sz w:val="18"/>
                                <w:szCs w:val="18"/>
                              </w:rPr>
                            </w:pPr>
                            <w:r>
                              <w:rPr>
                                <w:rFonts w:hint="eastAsia"/>
                                <w:b/>
                                <w:sz w:val="18"/>
                                <w:szCs w:val="18"/>
                              </w:rPr>
                              <w:t>留  存</w:t>
                            </w:r>
                          </w:p>
                          <w:p>
                            <w:pPr>
                              <w:jc w:val="center"/>
                              <w:rPr>
                                <w:b/>
                                <w:sz w:val="18"/>
                                <w:szCs w:val="18"/>
                              </w:rPr>
                            </w:pPr>
                          </w:p>
                        </w:txbxContent>
                      </v:textbox>
                    </v:shape>
                  </w:pict>
                </mc:Fallback>
              </mc:AlternateContent>
            </w:r>
          </w:p>
        </w:tc>
        <w:tc>
          <w:tcPr>
            <w:tcW w:w="604" w:type="dxa"/>
            <w:vAlign w:val="center"/>
          </w:tcPr>
          <w:p>
            <w:pPr>
              <w:ind w:left="-15" w:leftChars="-7" w:right="-128" w:rightChars="-61"/>
              <w:jc w:val="center"/>
              <w:rPr>
                <w:rFonts w:ascii="宋体" w:hAnsi="宋体" w:cs="宋体"/>
                <w:b/>
                <w:color w:val="000000"/>
                <w:highlight w:val="none"/>
              </w:rPr>
            </w:pPr>
            <w:r>
              <w:rPr>
                <w:rFonts w:hint="eastAsia" w:ascii="宋体" w:hAnsi="宋体" w:cs="宋体"/>
                <w:b/>
                <w:color w:val="000000"/>
                <w:highlight w:val="none"/>
              </w:rPr>
              <w:t>序号</w:t>
            </w:r>
          </w:p>
        </w:tc>
        <w:tc>
          <w:tcPr>
            <w:tcW w:w="3046" w:type="dxa"/>
            <w:vAlign w:val="center"/>
          </w:tcPr>
          <w:p>
            <w:pPr>
              <w:jc w:val="center"/>
              <w:rPr>
                <w:rFonts w:ascii="宋体" w:hAnsi="宋体" w:cs="宋体"/>
                <w:b/>
                <w:color w:val="000000"/>
                <w:highlight w:val="none"/>
              </w:rPr>
            </w:pPr>
            <w:r>
              <w:rPr>
                <w:rFonts w:hint="eastAsia" w:ascii="宋体" w:hAnsi="宋体" w:cs="宋体"/>
                <w:b/>
                <w:color w:val="000000"/>
                <w:highlight w:val="none"/>
              </w:rPr>
              <w:t>维保项目（内容）</w:t>
            </w:r>
          </w:p>
        </w:tc>
        <w:tc>
          <w:tcPr>
            <w:tcW w:w="4657" w:type="dxa"/>
            <w:vAlign w:val="center"/>
          </w:tcPr>
          <w:p>
            <w:pPr>
              <w:jc w:val="center"/>
              <w:rPr>
                <w:rFonts w:ascii="宋体" w:hAnsi="宋体" w:cs="宋体"/>
                <w:b/>
                <w:color w:val="000000"/>
                <w:highlight w:val="none"/>
              </w:rPr>
            </w:pPr>
            <w:r>
              <w:rPr>
                <w:rFonts w:hint="eastAsia" w:ascii="宋体" w:hAnsi="宋体" w:cs="宋体"/>
                <w:b/>
                <w:color w:val="000000"/>
                <w:highlight w:val="none"/>
              </w:rPr>
              <w:t>维保基本要求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color w:val="000000"/>
                <w:highlight w:val="none"/>
              </w:rPr>
            </w:pPr>
            <w:r>
              <w:rPr>
                <w:rFonts w:hint="eastAsia" w:ascii="宋体" w:hAnsi="宋体" w:cs="宋体"/>
                <w:b/>
                <w:color w:val="000000"/>
                <w:highlight w:val="none"/>
              </w:rPr>
              <w:t>半月维保</w:t>
            </w: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机房、滑轮间环境</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清洁，门窗完好，照明正常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手动紧急操作装置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齐全，在指定位置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驱动主机</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运行时无异常振动和异常声响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4</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制动器各销轴部位</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动作灵活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5</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制动器间隙</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打开时制动衬与制动轮不应发生摩擦，间隙值符合制造单位要求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6</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制动器作为轿厢意外移动保护装置制停子系统时的自监测</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制动力人工方式检测符合使用维护说明书要求；制动力自监测系统有记录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7</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编码器</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8</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限速器各销轴部位</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润滑，转动灵活；电气开关正常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9</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层门和轿门旁路装置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10</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紧急电动运行</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11</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轿顶</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清洁，防护栏安全可靠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12</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轿顶检修开关、停止装置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13</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导靴上油杯</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吸油毛毡齐全，油量适宜，油杯无泄漏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14</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对重/平衡重块及其压板</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对重/平衡重块无松动，压板紧固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15</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井道照明</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齐全，正常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16</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轿厢照明、风扇、应急照明</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17</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轿厢检修开关、停止装置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18</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 xml:space="preserve">轿内报警装置、对讲系统 </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19</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轿内显示、指令按钮、IC卡系统</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20</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轿门防撞击保护装置(安全触板，光幕、光电等)</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21</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轿门门锁电气触点</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22</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轿门运行</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开启和关闭工作正常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widowControl/>
              <w:spacing w:line="10" w:lineRule="atLeast"/>
              <w:jc w:val="center"/>
              <w:rPr>
                <w:rFonts w:ascii="宋体" w:hAnsi="宋体" w:cs="宋体"/>
                <w:color w:val="000000"/>
                <w:kern w:val="0"/>
                <w:highlight w:val="none"/>
              </w:rPr>
            </w:pPr>
          </w:p>
        </w:tc>
        <w:tc>
          <w:tcPr>
            <w:tcW w:w="604" w:type="dxa"/>
            <w:vAlign w:val="center"/>
          </w:tcPr>
          <w:p>
            <w:pPr>
              <w:widowControl/>
              <w:spacing w:line="10" w:lineRule="atLeast"/>
              <w:jc w:val="center"/>
              <w:rPr>
                <w:rFonts w:ascii="宋体" w:hAnsi="宋体" w:cs="宋体"/>
                <w:color w:val="000000"/>
                <w:kern w:val="0"/>
                <w:highlight w:val="none"/>
              </w:rPr>
            </w:pPr>
            <w:r>
              <w:rPr>
                <w:rFonts w:hint="eastAsia" w:ascii="宋体" w:hAnsi="宋体" w:cs="宋体"/>
                <w:color w:val="000000"/>
                <w:kern w:val="0"/>
                <w:highlight w:val="none"/>
              </w:rPr>
              <w:t>23</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轿厢平层准确度</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24</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层站召唤、层楼显示</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25</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层门地坎</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26</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层门自动关门装置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27</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层门门锁自动复位</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用层门钥匙打开手动开锁装置释放后，层门门锁能自动复位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28</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层门门锁电气触点</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清洁，触点接触良好，接线可靠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29</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层门锁紧元件啮合长度</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不小于7mm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30</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底坑环境</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清洁，无渗水、积水，照明正常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spacing w:line="10" w:lineRule="atLeast"/>
              <w:jc w:val="center"/>
              <w:rPr>
                <w:rFonts w:ascii="宋体" w:hAnsi="宋体" w:cs="宋体"/>
                <w:color w:val="000000"/>
                <w:highlight w:val="none"/>
              </w:rPr>
            </w:pPr>
          </w:p>
        </w:tc>
        <w:tc>
          <w:tcPr>
            <w:tcW w:w="604" w:type="dxa"/>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31</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底坑停止装置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color w:val="000000"/>
                <w:highlight w:val="none"/>
              </w:rPr>
            </w:pPr>
            <w:r>
              <w:rPr>
                <w:rFonts w:hint="eastAsia" w:ascii="宋体" w:hAnsi="宋体" w:cs="宋体"/>
                <w:b/>
                <w:color w:val="000000"/>
                <w:highlight w:val="none"/>
              </w:rPr>
              <w:t>季度维保</w:t>
            </w:r>
          </w:p>
        </w:tc>
        <w:tc>
          <w:tcPr>
            <w:tcW w:w="604" w:type="dxa"/>
            <w:shd w:val="clear" w:color="auto" w:fill="F2F2F2"/>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32</w:t>
            </w:r>
          </w:p>
        </w:tc>
        <w:tc>
          <w:tcPr>
            <w:tcW w:w="3046" w:type="dxa"/>
            <w:shd w:val="clear" w:color="auto" w:fill="F2F2F2"/>
            <w:vAlign w:val="center"/>
          </w:tcPr>
          <w:p>
            <w:pPr>
              <w:widowControl/>
              <w:rPr>
                <w:rFonts w:ascii="宋体" w:hAnsi="宋体" w:cs="宋体"/>
                <w:color w:val="000000"/>
                <w:kern w:val="0"/>
                <w:highlight w:val="none"/>
              </w:rPr>
            </w:pPr>
            <w:r>
              <w:rPr>
                <w:rFonts w:hint="eastAsia" w:ascii="宋体" w:hAnsi="宋体" w:cs="宋体"/>
                <w:color w:val="000000"/>
                <w:highlight w:val="none"/>
              </w:rPr>
              <w:t>减速机润滑油</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油量适宜，除蜗杆伸出端外均无渗漏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color w:val="000000"/>
                <w:highlight w:val="none"/>
              </w:rPr>
            </w:pPr>
          </w:p>
        </w:tc>
        <w:tc>
          <w:tcPr>
            <w:tcW w:w="604" w:type="dxa"/>
            <w:shd w:val="clear" w:color="auto" w:fill="F2F2F2"/>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33</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制动衬</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spacing w:line="10" w:lineRule="atLeast"/>
              <w:jc w:val="center"/>
              <w:rPr>
                <w:rFonts w:ascii="宋体" w:hAnsi="宋体" w:cs="宋体"/>
                <w:color w:val="000000"/>
                <w:highlight w:val="none"/>
              </w:rPr>
            </w:pPr>
          </w:p>
        </w:tc>
        <w:tc>
          <w:tcPr>
            <w:tcW w:w="604" w:type="dxa"/>
            <w:shd w:val="clear" w:color="auto" w:fill="F2F2F2"/>
            <w:vAlign w:val="center"/>
          </w:tcPr>
          <w:p>
            <w:pPr>
              <w:spacing w:line="10" w:lineRule="atLeast"/>
              <w:jc w:val="center"/>
              <w:rPr>
                <w:rFonts w:ascii="宋体" w:hAnsi="宋体" w:cs="宋体"/>
                <w:color w:val="000000"/>
                <w:highlight w:val="none"/>
              </w:rPr>
            </w:pPr>
            <w:r>
              <w:rPr>
                <w:rFonts w:hint="eastAsia" w:ascii="宋体" w:hAnsi="宋体" w:cs="宋体"/>
                <w:color w:val="000000"/>
                <w:highlight w:val="none"/>
              </w:rPr>
              <w:t>34</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编码器</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35</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选层器动静触点</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清洁，无烧蚀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36</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曳引轮槽、悬挂装置</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清洁，钢丝绳无严重油腻，张力均匀，符合制造单位要求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37</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限速器轮槽、限速器钢丝绳</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清洁，无严重油腻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38</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靴衬、滚轮</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39</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验证轿门关闭的电气安全装置</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40</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层门、轿门系统中传动钢丝绳、链条、传动带</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按照制造单位要求进行清洁、调整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41</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层门门导靴</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42</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消防开关</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工作正常，功能有效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43</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耗能缓冲器</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电气安全装置功能有效，油量适宜，柱塞无锈蚀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44</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限速器张紧轮装置和电气安全装置</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vAlign w:val="center"/>
          </w:tcPr>
          <w:p>
            <w:pPr>
              <w:spacing w:line="10" w:lineRule="atLeast"/>
              <w:jc w:val="center"/>
              <w:rPr>
                <w:rFonts w:ascii="宋体" w:hAnsi="宋体" w:cs="宋体"/>
                <w:b/>
                <w:color w:val="000000"/>
                <w:highlight w:val="none"/>
              </w:rPr>
            </w:pPr>
            <w:r>
              <w:rPr>
                <w:rFonts w:hint="eastAsia" w:ascii="宋体" w:hAnsi="宋体" w:cs="宋体"/>
                <w:b/>
                <w:color w:val="000000"/>
                <w:highlight w:val="none"/>
              </w:rPr>
              <w:t>半年维保</w:t>
            </w: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45</w:t>
            </w:r>
          </w:p>
        </w:tc>
        <w:tc>
          <w:tcPr>
            <w:tcW w:w="3046" w:type="dxa"/>
            <w:vAlign w:val="center"/>
          </w:tcPr>
          <w:p>
            <w:pPr>
              <w:widowControl/>
              <w:rPr>
                <w:rFonts w:ascii="宋体" w:hAnsi="宋体" w:cs="宋体"/>
                <w:color w:val="000000"/>
                <w:kern w:val="0"/>
                <w:highlight w:val="none"/>
              </w:rPr>
            </w:pPr>
            <w:r>
              <w:rPr>
                <w:rFonts w:hint="eastAsia" w:ascii="宋体" w:hAnsi="宋体" w:cs="宋体"/>
                <w:color w:val="000000"/>
                <w:highlight w:val="none"/>
              </w:rPr>
              <w:t>电动机与减速机联轴器</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连接无松动，弹性元件外观良好，无老化等现象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46</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驱动轮、导向轮轴承部</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无异常声响，无振动，润滑良好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47</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曳引轮槽</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48</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制动器动作状态监测装置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工作正常，制动器动作可靠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49</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控制柜内各接线端子</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各接线紧固、整齐，线号齐全清晰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50</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控制柜各仪表</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51</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井道、对重、轿顶各反绳轮轴承部</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无异常声响，无振动，润滑良好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52</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悬挂装置、补偿绳</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磨损量、断丝数不超过要求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53</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绳头组合</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螺母无松动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54</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限速器钢丝绳</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磨损量、断丝数不超过制造单位要求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55</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层门、轿门门扇</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门扇各相关间隙符合标准值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56</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轿门开门限制装置</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57</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对重缓冲距离</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符合标准值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58</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补偿链(绳)与轿厢、对重接合处</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tcPr>
          <w:p>
            <w:pPr>
              <w:jc w:val="center"/>
              <w:rPr>
                <w:rFonts w:ascii="宋体" w:hAnsi="宋体" w:cs="宋体"/>
                <w:color w:val="000000"/>
                <w:highlight w:val="none"/>
              </w:rPr>
            </w:pPr>
          </w:p>
        </w:tc>
        <w:tc>
          <w:tcPr>
            <w:tcW w:w="604" w:type="dxa"/>
            <w:vAlign w:val="center"/>
          </w:tcPr>
          <w:p>
            <w:pPr>
              <w:jc w:val="center"/>
              <w:rPr>
                <w:rFonts w:ascii="宋体" w:hAnsi="宋体" w:cs="宋体"/>
                <w:color w:val="000000"/>
                <w:highlight w:val="none"/>
              </w:rPr>
            </w:pPr>
            <w:r>
              <w:rPr>
                <w:rFonts w:hint="eastAsia" w:ascii="宋体" w:hAnsi="宋体" w:cs="宋体"/>
                <w:color w:val="000000"/>
                <w:highlight w:val="none"/>
              </w:rPr>
              <w:t>59</w:t>
            </w:r>
          </w:p>
        </w:tc>
        <w:tc>
          <w:tcPr>
            <w:tcW w:w="3046" w:type="dxa"/>
            <w:vAlign w:val="center"/>
          </w:tcPr>
          <w:p>
            <w:pPr>
              <w:rPr>
                <w:rFonts w:ascii="宋体" w:hAnsi="宋体" w:cs="宋体"/>
                <w:color w:val="000000"/>
                <w:highlight w:val="none"/>
              </w:rPr>
            </w:pPr>
            <w:r>
              <w:rPr>
                <w:rFonts w:hint="eastAsia" w:ascii="宋体" w:hAnsi="宋体" w:cs="宋体"/>
                <w:color w:val="000000"/>
                <w:highlight w:val="none"/>
              </w:rPr>
              <w:t>上、下极限开关</w:t>
            </w:r>
          </w:p>
        </w:tc>
        <w:tc>
          <w:tcPr>
            <w:tcW w:w="4657" w:type="dxa"/>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restart"/>
            <w:shd w:val="clear" w:color="auto" w:fill="F2F2F2"/>
            <w:vAlign w:val="center"/>
          </w:tcPr>
          <w:p>
            <w:pPr>
              <w:spacing w:line="10" w:lineRule="atLeast"/>
              <w:jc w:val="center"/>
              <w:rPr>
                <w:rFonts w:ascii="宋体" w:hAnsi="宋体" w:cs="宋体"/>
                <w:b/>
                <w:color w:val="000000"/>
                <w:highlight w:val="none"/>
              </w:rPr>
            </w:pPr>
            <w:r>
              <w:rPr>
                <w:rFonts w:hint="eastAsia" w:ascii="宋体" w:hAnsi="宋体" w:cs="宋体"/>
                <w:b/>
                <w:color w:val="000000"/>
                <w:highlight w:val="none"/>
              </w:rPr>
              <w:t>年度维保</w:t>
            </w: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60</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减速机润滑油</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按照制造单位要求适时更换，保证油质符合要求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61</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控制柜接触器、继电器触点</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接触良好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62</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制动器铁芯(柱塞)</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进行清洁、润滑、检查，磨损量不超过制造单位要求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63</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制动器制动能力</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符合制造单位要求，保持有足够的制动力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64</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导电回路绝缘性能测试</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65</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限速器安全钳联动试验</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66</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上行超速保护装置动作试验</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67</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轿厢意外移动保护装置动作试验</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68</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轿顶、轿厢架、轿门及其附件安装螺栓</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69</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轿厢和对重/平衡重的导轨支架</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70</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轿厢和对重/平衡重的导轨</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清洁，压板牢固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71</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随行电缆</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72</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层门装置和地坎</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无影响正常使用的变形，各安装螺栓紧固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73</w:t>
            </w:r>
          </w:p>
        </w:tc>
        <w:tc>
          <w:tcPr>
            <w:tcW w:w="3046" w:type="dxa"/>
            <w:shd w:val="clear" w:color="auto" w:fill="F2F2F2"/>
            <w:vAlign w:val="center"/>
          </w:tcPr>
          <w:p>
            <w:pPr>
              <w:widowControl/>
              <w:rPr>
                <w:rFonts w:ascii="宋体" w:hAnsi="宋体" w:cs="宋体"/>
                <w:color w:val="000000"/>
                <w:kern w:val="0"/>
                <w:highlight w:val="none"/>
              </w:rPr>
            </w:pPr>
            <w:r>
              <w:rPr>
                <w:rFonts w:hint="eastAsia" w:ascii="宋体" w:hAnsi="宋体" w:cs="宋体"/>
                <w:color w:val="000000"/>
                <w:highlight w:val="none"/>
              </w:rPr>
              <w:t>轿厢称重装置</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74</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安全钳钳座</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固定，无松动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75</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轿底各安装螺栓</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vMerge w:val="continue"/>
            <w:shd w:val="clear" w:color="auto" w:fill="F2F2F2"/>
          </w:tcPr>
          <w:p>
            <w:pPr>
              <w:jc w:val="center"/>
              <w:rPr>
                <w:rFonts w:ascii="宋体" w:hAnsi="宋体" w:cs="宋体"/>
                <w:color w:val="000000"/>
                <w:highlight w:val="none"/>
              </w:rPr>
            </w:pPr>
          </w:p>
        </w:tc>
        <w:tc>
          <w:tcPr>
            <w:tcW w:w="604" w:type="dxa"/>
            <w:shd w:val="clear" w:color="auto" w:fill="F2F2F2"/>
            <w:vAlign w:val="center"/>
          </w:tcPr>
          <w:p>
            <w:pPr>
              <w:jc w:val="center"/>
              <w:rPr>
                <w:rFonts w:ascii="宋体" w:hAnsi="宋体" w:cs="宋体"/>
                <w:color w:val="000000"/>
                <w:highlight w:val="none"/>
              </w:rPr>
            </w:pPr>
            <w:r>
              <w:rPr>
                <w:rFonts w:hint="eastAsia" w:ascii="宋体" w:hAnsi="宋体" w:cs="宋体"/>
                <w:color w:val="000000"/>
                <w:highlight w:val="none"/>
              </w:rPr>
              <w:t>76</w:t>
            </w:r>
          </w:p>
        </w:tc>
        <w:tc>
          <w:tcPr>
            <w:tcW w:w="3046"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缓冲器</w:t>
            </w:r>
          </w:p>
        </w:tc>
        <w:tc>
          <w:tcPr>
            <w:tcW w:w="4657" w:type="dxa"/>
            <w:shd w:val="clear" w:color="auto" w:fill="F2F2F2"/>
            <w:vAlign w:val="center"/>
          </w:tcPr>
          <w:p>
            <w:pPr>
              <w:rPr>
                <w:rFonts w:ascii="宋体" w:hAnsi="宋体" w:cs="宋体"/>
                <w:color w:val="000000"/>
                <w:highlight w:val="none"/>
              </w:rPr>
            </w:pPr>
            <w:r>
              <w:rPr>
                <w:rFonts w:hint="eastAsia" w:ascii="宋体" w:hAnsi="宋体" w:cs="宋体"/>
                <w:color w:val="000000"/>
                <w:highlight w:val="none"/>
              </w:rPr>
              <w:t>固定，无松动</w:t>
            </w:r>
          </w:p>
        </w:tc>
      </w:tr>
    </w:tbl>
    <w:p>
      <w:pPr>
        <w:spacing w:line="440" w:lineRule="exact"/>
        <w:rPr>
          <w:sz w:val="24"/>
          <w:highlight w:val="none"/>
        </w:rPr>
      </w:pPr>
      <w:r>
        <w:rPr>
          <w:rFonts w:hint="eastAsia"/>
          <w:b/>
          <w:sz w:val="24"/>
          <w:highlight w:val="none"/>
        </w:rPr>
        <w:t>三、</w:t>
      </w:r>
      <w:r>
        <w:rPr>
          <w:sz w:val="24"/>
          <w:highlight w:val="none"/>
        </w:rPr>
        <w:t xml:space="preserve"> 电梯维修维护</w:t>
      </w:r>
      <w:r>
        <w:rPr>
          <w:rFonts w:hint="eastAsia"/>
          <w:sz w:val="24"/>
          <w:highlight w:val="none"/>
        </w:rPr>
        <w:t>要求及质量</w:t>
      </w:r>
      <w:r>
        <w:rPr>
          <w:sz w:val="24"/>
          <w:highlight w:val="none"/>
        </w:rPr>
        <w:t>：</w:t>
      </w:r>
    </w:p>
    <w:p>
      <w:pPr>
        <w:spacing w:line="440" w:lineRule="exact"/>
        <w:ind w:firstLine="480" w:firstLineChars="200"/>
        <w:rPr>
          <w:rFonts w:ascii="宋体" w:hAnsi="宋体" w:cs="宋体"/>
          <w:color w:val="000000"/>
          <w:sz w:val="24"/>
          <w:highlight w:val="none"/>
        </w:rPr>
      </w:pPr>
      <w:r>
        <w:rPr>
          <w:sz w:val="24"/>
          <w:highlight w:val="none"/>
        </w:rPr>
        <w:t>乙方严格遵照电梯生产厂随梯发来的 《电梯使用维护说明书》和本合同所规定的</w:t>
      </w:r>
      <w:r>
        <w:rPr>
          <w:rFonts w:hint="eastAsia"/>
          <w:sz w:val="24"/>
          <w:highlight w:val="none"/>
        </w:rPr>
        <w:t>《</w:t>
      </w:r>
      <w:r>
        <w:rPr>
          <w:rFonts w:hint="eastAsia" w:ascii="宋体" w:hAnsi="宋体" w:cs="宋体"/>
          <w:color w:val="000000"/>
          <w:sz w:val="24"/>
          <w:highlight w:val="none"/>
        </w:rPr>
        <w:t>维护保养项目内容及要求</w:t>
      </w:r>
      <w:r>
        <w:rPr>
          <w:rFonts w:hint="eastAsia"/>
          <w:sz w:val="24"/>
          <w:highlight w:val="none"/>
        </w:rPr>
        <w:t>》</w:t>
      </w:r>
      <w:r>
        <w:rPr>
          <w:sz w:val="24"/>
          <w:highlight w:val="none"/>
        </w:rPr>
        <w:t>，作业项目按国家有关电梯运行的安全要求</w:t>
      </w:r>
      <w:r>
        <w:rPr>
          <w:rFonts w:hint="eastAsia"/>
          <w:sz w:val="24"/>
          <w:highlight w:val="none"/>
        </w:rPr>
        <w:t>、</w:t>
      </w:r>
      <w:r>
        <w:rPr>
          <w:sz w:val="24"/>
          <w:highlight w:val="none"/>
        </w:rPr>
        <w:t xml:space="preserve"> 技术性能标准，对电梯每隔十五日内至少实施一次例行维修维护作业，并做好维修维护记录，以保证电梯处于完好安全使用状态，达到延长电梯使用寿命，并保证电梯在本年度合同期内年检合格，同时对日常电梯故障进行维修及大修工程。</w:t>
      </w:r>
    </w:p>
    <w:p>
      <w:pPr>
        <w:spacing w:before="156" w:beforeLines="50" w:line="440" w:lineRule="exact"/>
        <w:ind w:firstLine="480" w:firstLineChars="200"/>
        <w:rPr>
          <w:sz w:val="24"/>
          <w:highlight w:val="none"/>
        </w:rPr>
      </w:pPr>
      <w:r>
        <w:rPr>
          <w:sz w:val="24"/>
          <w:highlight w:val="none"/>
        </w:rPr>
        <w:t>实施日常维修维护的电梯应当符合 《电梯维修规范》 (GB/T18775)、《电梯制造与安装安全规范》(GB7588)的相关规定。如果是自动扶梯和自动人行道还应该符合&lt;GB16899&gt; 《自动扶梯和自动人行道的制造与安装安全规范》</w:t>
      </w:r>
    </w:p>
    <w:p>
      <w:pPr>
        <w:spacing w:line="440" w:lineRule="exact"/>
        <w:ind w:firstLine="480" w:firstLineChars="200"/>
        <w:rPr>
          <w:sz w:val="24"/>
          <w:highlight w:val="none"/>
        </w:rPr>
      </w:pPr>
      <w:r>
        <w:rPr>
          <w:sz w:val="24"/>
          <w:highlight w:val="none"/>
        </w:rPr>
        <w:t>除上述标准外，还应当满足甲方提出的如下要求：___________________</w:t>
      </w:r>
      <w:r>
        <w:rPr>
          <w:rFonts w:hint="eastAsia" w:ascii="宋体" w:hAnsi="宋体" w:cs="宋体"/>
          <w:sz w:val="24"/>
          <w:highlight w:val="none"/>
        </w:rPr>
        <w:t>/</w:t>
      </w:r>
      <w:r>
        <w:rPr>
          <w:sz w:val="24"/>
          <w:highlight w:val="none"/>
        </w:rPr>
        <w:t>_________________。</w:t>
      </w:r>
    </w:p>
    <w:p>
      <w:pPr>
        <w:spacing w:before="156" w:beforeLines="50" w:line="440" w:lineRule="exact"/>
        <w:rPr>
          <w:sz w:val="24"/>
          <w:highlight w:val="none"/>
        </w:rPr>
      </w:pPr>
      <w:r>
        <w:rPr>
          <w:rFonts w:hint="eastAsia"/>
          <w:sz w:val="24"/>
          <w:highlight w:val="none"/>
        </w:rPr>
        <w:t>四、</w:t>
      </w:r>
      <w:r>
        <w:rPr>
          <w:sz w:val="24"/>
          <w:highlight w:val="none"/>
        </w:rPr>
        <w:t>合同期限：</w:t>
      </w:r>
    </w:p>
    <w:p>
      <w:pPr>
        <w:spacing w:line="440" w:lineRule="exact"/>
        <w:ind w:firstLine="480" w:firstLineChars="200"/>
        <w:rPr>
          <w:sz w:val="24"/>
          <w:highlight w:val="none"/>
        </w:rPr>
      </w:pPr>
      <w:r>
        <w:rPr>
          <w:sz w:val="24"/>
          <w:highlight w:val="none"/>
        </w:rPr>
        <w:t>本合同有效期为</w:t>
      </w:r>
      <w:r>
        <w:rPr>
          <w:b/>
          <w:sz w:val="24"/>
          <w:highlight w:val="none"/>
        </w:rPr>
        <w:t>壹年</w:t>
      </w:r>
      <w:r>
        <w:rPr>
          <w:sz w:val="24"/>
          <w:highlight w:val="none"/>
        </w:rPr>
        <w:t>，即</w:t>
      </w:r>
      <w:r>
        <w:rPr>
          <w:rFonts w:hint="eastAsia"/>
          <w:sz w:val="24"/>
          <w:highlight w:val="none"/>
        </w:rPr>
        <w:t>：</w:t>
      </w:r>
      <w:r>
        <w:rPr>
          <w:sz w:val="24"/>
          <w:highlight w:val="none"/>
          <w:u w:val="single"/>
        </w:rPr>
        <w:t>从</w:t>
      </w:r>
      <w:r>
        <w:rPr>
          <w:rFonts w:hint="eastAsia"/>
          <w:sz w:val="24"/>
          <w:highlight w:val="none"/>
          <w:u w:val="single"/>
        </w:rPr>
        <w:t xml:space="preserve">    </w:t>
      </w:r>
      <w:r>
        <w:rPr>
          <w:sz w:val="24"/>
          <w:highlight w:val="none"/>
          <w:u w:val="single"/>
        </w:rPr>
        <w:t>年</w:t>
      </w:r>
      <w:r>
        <w:rPr>
          <w:rFonts w:hint="eastAsia"/>
          <w:sz w:val="24"/>
          <w:highlight w:val="none"/>
          <w:u w:val="single"/>
        </w:rPr>
        <w:t xml:space="preserve">   </w:t>
      </w:r>
      <w:r>
        <w:rPr>
          <w:sz w:val="24"/>
          <w:highlight w:val="none"/>
          <w:u w:val="single"/>
        </w:rPr>
        <w:t>月</w:t>
      </w:r>
      <w:r>
        <w:rPr>
          <w:rFonts w:hint="eastAsia"/>
          <w:sz w:val="24"/>
          <w:highlight w:val="none"/>
          <w:u w:val="single"/>
        </w:rPr>
        <w:t xml:space="preserve">   </w:t>
      </w:r>
      <w:r>
        <w:rPr>
          <w:sz w:val="24"/>
          <w:highlight w:val="none"/>
          <w:u w:val="single"/>
        </w:rPr>
        <w:t>日起至</w:t>
      </w:r>
      <w:r>
        <w:rPr>
          <w:rFonts w:hint="eastAsia"/>
          <w:sz w:val="24"/>
          <w:highlight w:val="none"/>
          <w:u w:val="single"/>
        </w:rPr>
        <w:t xml:space="preserve">    </w:t>
      </w:r>
      <w:r>
        <w:rPr>
          <w:sz w:val="24"/>
          <w:highlight w:val="none"/>
          <w:u w:val="single"/>
        </w:rPr>
        <w:t>年</w:t>
      </w:r>
      <w:r>
        <w:rPr>
          <w:rFonts w:hint="eastAsia"/>
          <w:sz w:val="24"/>
          <w:highlight w:val="none"/>
          <w:u w:val="single"/>
        </w:rPr>
        <w:t xml:space="preserve">   </w:t>
      </w:r>
      <w:r>
        <w:rPr>
          <w:sz w:val="24"/>
          <w:highlight w:val="none"/>
          <w:u w:val="single"/>
        </w:rPr>
        <w:t>月</w:t>
      </w:r>
      <w:r>
        <w:rPr>
          <w:rFonts w:hint="eastAsia"/>
          <w:sz w:val="24"/>
          <w:highlight w:val="none"/>
          <w:u w:val="single"/>
        </w:rPr>
        <w:t xml:space="preserve">   </w:t>
      </w:r>
      <w:r>
        <w:rPr>
          <w:sz w:val="24"/>
          <w:highlight w:val="none"/>
          <w:u w:val="single"/>
        </w:rPr>
        <w:t>日止</w:t>
      </w:r>
      <w:r>
        <w:rPr>
          <w:sz w:val="24"/>
          <w:highlight w:val="none"/>
        </w:rPr>
        <w:t>。</w:t>
      </w:r>
    </w:p>
    <w:p>
      <w:pPr>
        <w:spacing w:before="156" w:beforeLines="50" w:line="440" w:lineRule="exact"/>
        <w:rPr>
          <w:sz w:val="24"/>
          <w:highlight w:val="none"/>
        </w:rPr>
      </w:pPr>
      <w:r>
        <w:rPr>
          <w:rFonts w:hint="eastAsia"/>
          <w:sz w:val="24"/>
          <w:highlight w:val="none"/>
        </w:rPr>
        <w:t>五、</w:t>
      </w:r>
      <w:r>
        <w:rPr>
          <w:sz w:val="24"/>
          <w:highlight w:val="none"/>
        </w:rPr>
        <w:t>维修维护费用总金额：</w:t>
      </w:r>
      <w:r>
        <w:rPr>
          <w:rFonts w:hint="eastAsia" w:cs="Arial"/>
          <w:bCs/>
          <w:highlight w:val="none"/>
        </w:rPr>
        <w:t xml:space="preserve">大写：人民币 </w:t>
      </w:r>
      <w:r>
        <w:rPr>
          <w:rFonts w:hint="eastAsia" w:cs="Arial"/>
          <w:bCs/>
          <w:highlight w:val="none"/>
          <w:u w:val="single"/>
        </w:rPr>
        <w:t xml:space="preserve">              </w:t>
      </w:r>
      <w:r>
        <w:rPr>
          <w:rFonts w:hint="eastAsia" w:cs="Arial"/>
          <w:bCs/>
          <w:highlight w:val="none"/>
        </w:rPr>
        <w:t xml:space="preserve">   ￥</w:t>
      </w:r>
      <w:r>
        <w:rPr>
          <w:rFonts w:hint="eastAsia" w:cs="Arial"/>
          <w:bCs/>
          <w:highlight w:val="none"/>
          <w:u w:val="single"/>
        </w:rPr>
        <w:t xml:space="preserve">             元</w:t>
      </w:r>
      <w:r>
        <w:rPr>
          <w:rFonts w:hint="eastAsia" w:cs="Arial"/>
          <w:bCs/>
          <w:highlight w:val="none"/>
        </w:rPr>
        <w:t xml:space="preserve"> </w:t>
      </w:r>
    </w:p>
    <w:p>
      <w:pPr>
        <w:spacing w:before="156" w:beforeLines="50" w:after="156" w:afterLines="50" w:line="440" w:lineRule="exact"/>
        <w:rPr>
          <w:b/>
          <w:sz w:val="24"/>
          <w:highlight w:val="none"/>
        </w:rPr>
      </w:pPr>
      <w:r>
        <w:rPr>
          <w:b/>
          <w:spacing w:val="20"/>
          <w:sz w:val="24"/>
          <w:highlight w:val="none"/>
        </w:rPr>
        <w:t>合同维修维护费用总金额为人民币：</w:t>
      </w:r>
      <w:r>
        <w:rPr>
          <w:b/>
          <w:sz w:val="24"/>
          <w:highlight w:val="none"/>
        </w:rPr>
        <w:t xml:space="preserve"> </w:t>
      </w:r>
    </w:p>
    <w:p>
      <w:pPr>
        <w:spacing w:line="440" w:lineRule="exact"/>
        <w:ind w:firstLine="480" w:firstLineChars="200"/>
        <w:rPr>
          <w:rFonts w:ascii="宋体"/>
          <w:color w:val="000000"/>
          <w:sz w:val="24"/>
          <w:highlight w:val="none"/>
        </w:rPr>
      </w:pPr>
      <w:r>
        <w:rPr>
          <w:sz w:val="24"/>
          <w:highlight w:val="none"/>
        </w:rPr>
        <w:t>注：</w:t>
      </w:r>
      <w:r>
        <w:rPr>
          <w:rFonts w:hint="eastAsia" w:ascii="宋体" w:hAnsi="宋体"/>
          <w:color w:val="000000"/>
          <w:sz w:val="24"/>
          <w:highlight w:val="none"/>
        </w:rPr>
        <w:t>包括：</w:t>
      </w:r>
    </w:p>
    <w:p>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1、服务的价格；</w:t>
      </w:r>
    </w:p>
    <w:p>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2、保险费用和各项税金；</w:t>
      </w:r>
    </w:p>
    <w:p>
      <w:pPr>
        <w:spacing w:line="440" w:lineRule="exact"/>
        <w:ind w:firstLine="480" w:firstLineChars="200"/>
        <w:rPr>
          <w:sz w:val="24"/>
          <w:highlight w:val="none"/>
        </w:rPr>
      </w:pPr>
      <w:r>
        <w:rPr>
          <w:rFonts w:hint="eastAsia" w:ascii="宋体" w:hAnsi="宋体"/>
          <w:color w:val="000000"/>
          <w:sz w:val="24"/>
          <w:highlight w:val="none"/>
        </w:rPr>
        <w:t>3、运输、装卸、更换、调试、培训、技术支持、售后服务、更新升级等费用。</w:t>
      </w:r>
    </w:p>
    <w:p>
      <w:pPr>
        <w:spacing w:line="440" w:lineRule="exact"/>
        <w:ind w:firstLine="480" w:firstLineChars="200"/>
        <w:rPr>
          <w:sz w:val="24"/>
          <w:highlight w:val="none"/>
        </w:rPr>
      </w:pPr>
      <w:r>
        <w:rPr>
          <w:rFonts w:hint="eastAsia"/>
          <w:sz w:val="24"/>
          <w:highlight w:val="none"/>
        </w:rPr>
        <w:t>4、</w:t>
      </w:r>
      <w:r>
        <w:rPr>
          <w:sz w:val="24"/>
          <w:highlight w:val="none"/>
        </w:rPr>
        <w:t xml:space="preserve">不包括本合同年度里电梯年检所产生的所有费用。 </w:t>
      </w:r>
    </w:p>
    <w:p>
      <w:pPr>
        <w:spacing w:line="440" w:lineRule="exact"/>
        <w:ind w:firstLine="480" w:firstLineChars="200"/>
        <w:rPr>
          <w:sz w:val="24"/>
          <w:highlight w:val="none"/>
        </w:rPr>
      </w:pPr>
      <w:r>
        <w:rPr>
          <w:rFonts w:hint="eastAsia"/>
          <w:sz w:val="24"/>
          <w:highlight w:val="none"/>
        </w:rPr>
        <w:t>5、</w:t>
      </w:r>
      <w:r>
        <w:rPr>
          <w:sz w:val="24"/>
          <w:highlight w:val="none"/>
        </w:rPr>
        <w:t>不包括因电梯维修需更换零部件所产生的费用。</w:t>
      </w:r>
    </w:p>
    <w:p>
      <w:pPr>
        <w:spacing w:line="440" w:lineRule="exact"/>
        <w:ind w:firstLine="480" w:firstLineChars="200"/>
        <w:rPr>
          <w:sz w:val="24"/>
          <w:highlight w:val="none"/>
        </w:rPr>
      </w:pPr>
      <w:r>
        <w:rPr>
          <w:rFonts w:hint="eastAsia"/>
          <w:sz w:val="24"/>
          <w:highlight w:val="none"/>
        </w:rPr>
        <w:t>6、</w:t>
      </w:r>
      <w:r>
        <w:rPr>
          <w:sz w:val="24"/>
          <w:highlight w:val="none"/>
        </w:rPr>
        <w:t>不包括损坏的电梯零部件修理费。</w:t>
      </w:r>
    </w:p>
    <w:p>
      <w:pPr>
        <w:spacing w:line="440" w:lineRule="exact"/>
        <w:ind w:firstLine="480" w:firstLineChars="200"/>
        <w:rPr>
          <w:sz w:val="24"/>
          <w:highlight w:val="none"/>
        </w:rPr>
      </w:pPr>
      <w:r>
        <w:rPr>
          <w:rFonts w:hint="eastAsia"/>
          <w:sz w:val="24"/>
          <w:highlight w:val="none"/>
        </w:rPr>
        <w:t>7、</w:t>
      </w:r>
      <w:r>
        <w:rPr>
          <w:sz w:val="24"/>
          <w:highlight w:val="none"/>
        </w:rPr>
        <w:t>不包括</w:t>
      </w:r>
      <w:r>
        <w:rPr>
          <w:rFonts w:hint="eastAsia"/>
          <w:sz w:val="24"/>
          <w:highlight w:val="none"/>
        </w:rPr>
        <w:t>每两年一次的限速器检验费用。</w:t>
      </w:r>
    </w:p>
    <w:p>
      <w:pPr>
        <w:spacing w:line="440" w:lineRule="exact"/>
        <w:ind w:firstLine="480" w:firstLineChars="200"/>
        <w:rPr>
          <w:sz w:val="24"/>
          <w:highlight w:val="none"/>
        </w:rPr>
      </w:pPr>
      <w:r>
        <w:rPr>
          <w:rFonts w:hint="eastAsia"/>
          <w:sz w:val="24"/>
          <w:highlight w:val="none"/>
        </w:rPr>
        <w:t>8、</w:t>
      </w:r>
      <w:r>
        <w:rPr>
          <w:sz w:val="24"/>
          <w:highlight w:val="none"/>
        </w:rPr>
        <w:t>不包括</w:t>
      </w:r>
      <w:r>
        <w:rPr>
          <w:rFonts w:hint="eastAsia"/>
          <w:sz w:val="24"/>
          <w:highlight w:val="none"/>
        </w:rPr>
        <w:t>每五年一次的“制动性能试验”费用。</w:t>
      </w:r>
    </w:p>
    <w:p>
      <w:pPr>
        <w:spacing w:line="440" w:lineRule="exact"/>
        <w:rPr>
          <w:b/>
          <w:color w:val="FF0000"/>
          <w:sz w:val="24"/>
          <w:highlight w:val="none"/>
        </w:rPr>
      </w:pPr>
      <w:r>
        <w:rPr>
          <w:rFonts w:hint="eastAsia"/>
          <w:sz w:val="24"/>
          <w:highlight w:val="none"/>
        </w:rPr>
        <w:t>六、维保地点</w:t>
      </w:r>
      <w:r>
        <w:rPr>
          <w:rFonts w:hint="eastAsia"/>
          <w:b/>
          <w:sz w:val="24"/>
          <w:highlight w:val="none"/>
        </w:rPr>
        <w:t>：南宁市西乡塘区大学西路157号</w:t>
      </w:r>
    </w:p>
    <w:p>
      <w:pPr>
        <w:spacing w:before="156" w:beforeLines="50" w:line="440" w:lineRule="exact"/>
        <w:rPr>
          <w:sz w:val="24"/>
          <w:highlight w:val="none"/>
        </w:rPr>
      </w:pPr>
      <w:r>
        <w:rPr>
          <w:rFonts w:hint="eastAsia"/>
          <w:sz w:val="24"/>
          <w:highlight w:val="none"/>
        </w:rPr>
        <w:t>七、</w:t>
      </w:r>
      <w:r>
        <w:rPr>
          <w:sz w:val="24"/>
          <w:highlight w:val="none"/>
        </w:rPr>
        <w:t>付款方式：</w:t>
      </w:r>
    </w:p>
    <w:p>
      <w:pPr>
        <w:pStyle w:val="2"/>
        <w:ind w:firstLine="240"/>
        <w:rPr>
          <w:sz w:val="24"/>
          <w:highlight w:val="none"/>
        </w:rPr>
      </w:pPr>
      <w:r>
        <w:rPr>
          <w:rFonts w:hint="eastAsia"/>
          <w:sz w:val="24"/>
          <w:highlight w:val="none"/>
        </w:rPr>
        <w:t xml:space="preserve">  合同维修维护费用分二期支付：</w:t>
      </w:r>
    </w:p>
    <w:p>
      <w:pPr>
        <w:pStyle w:val="2"/>
        <w:ind w:firstLine="240"/>
        <w:rPr>
          <w:sz w:val="24"/>
          <w:highlight w:val="none"/>
        </w:rPr>
      </w:pPr>
      <w:r>
        <w:rPr>
          <w:rFonts w:hint="eastAsia"/>
          <w:sz w:val="24"/>
          <w:highlight w:val="none"/>
        </w:rPr>
        <w:t xml:space="preserve">  第一期：合同签订后15个工作日内，甲方收到乙方有效发票后申请用款计划，待财政用款批复后，10个工作日内经银行转账向乙方支付合同款的50%；</w:t>
      </w:r>
    </w:p>
    <w:p>
      <w:pPr>
        <w:pStyle w:val="2"/>
        <w:ind w:firstLine="240"/>
        <w:rPr>
          <w:sz w:val="24"/>
          <w:highlight w:val="none"/>
        </w:rPr>
      </w:pPr>
      <w:r>
        <w:rPr>
          <w:rFonts w:hint="eastAsia"/>
          <w:sz w:val="24"/>
          <w:highlight w:val="none"/>
        </w:rPr>
        <w:t xml:space="preserve">  第二期：合同签订后第十二个月份内，甲方收到乙方有效发票后申请用款计划，待财政用款批复后，10个工作日内经银行转账向乙方支付合同款的50%；</w:t>
      </w:r>
    </w:p>
    <w:p>
      <w:pPr>
        <w:pStyle w:val="2"/>
        <w:ind w:firstLine="240"/>
        <w:rPr>
          <w:sz w:val="24"/>
          <w:highlight w:val="none"/>
        </w:rPr>
      </w:pPr>
    </w:p>
    <w:p>
      <w:pPr>
        <w:numPr>
          <w:ilvl w:val="0"/>
          <w:numId w:val="3"/>
        </w:numPr>
        <w:spacing w:before="156" w:beforeLines="50" w:after="156" w:afterLines="50" w:line="440" w:lineRule="exact"/>
        <w:rPr>
          <w:b/>
          <w:spacing w:val="20"/>
          <w:sz w:val="24"/>
          <w:highlight w:val="none"/>
        </w:rPr>
      </w:pPr>
      <w:r>
        <w:rPr>
          <w:b/>
          <w:spacing w:val="20"/>
          <w:sz w:val="24"/>
          <w:highlight w:val="none"/>
        </w:rPr>
        <w:t>二十四小时电梯维修值班电话：</w:t>
      </w:r>
    </w:p>
    <w:p>
      <w:pPr>
        <w:spacing w:before="156" w:beforeLines="50" w:after="156" w:afterLines="50" w:line="440" w:lineRule="exact"/>
        <w:rPr>
          <w:sz w:val="24"/>
          <w:highlight w:val="none"/>
        </w:rPr>
      </w:pPr>
      <w:r>
        <w:rPr>
          <w:rFonts w:hint="eastAsia"/>
          <w:sz w:val="24"/>
          <w:highlight w:val="none"/>
        </w:rPr>
        <w:t>九、</w:t>
      </w:r>
      <w:r>
        <w:rPr>
          <w:sz w:val="24"/>
          <w:highlight w:val="none"/>
        </w:rPr>
        <w:t xml:space="preserve"> 违约责任 </w:t>
      </w:r>
    </w:p>
    <w:p>
      <w:pPr>
        <w:spacing w:line="440" w:lineRule="exact"/>
        <w:ind w:firstLine="480" w:firstLineChars="200"/>
        <w:rPr>
          <w:sz w:val="24"/>
          <w:highlight w:val="none"/>
        </w:rPr>
      </w:pPr>
      <w:r>
        <w:rPr>
          <w:sz w:val="24"/>
          <w:highlight w:val="none"/>
        </w:rPr>
        <w:t>1、一方当事人无法继续履行合同的，应该及时书面通知另一方，并由责任方承担因合同解除而造成的损失。</w:t>
      </w:r>
    </w:p>
    <w:p>
      <w:pPr>
        <w:spacing w:before="156" w:beforeLines="50" w:after="156" w:afterLines="50" w:line="440" w:lineRule="exact"/>
        <w:ind w:firstLine="480" w:firstLineChars="200"/>
        <w:rPr>
          <w:sz w:val="24"/>
          <w:highlight w:val="none"/>
        </w:rPr>
      </w:pPr>
      <w:r>
        <w:rPr>
          <w:sz w:val="24"/>
          <w:highlight w:val="none"/>
        </w:rPr>
        <w:t xml:space="preserve">2、甲方未按合同的规定，延迟支付电梯维修维护费，则以延付的费用为基数，按每日0.5‰支付违约金，直至付出之日止。                               </w:t>
      </w:r>
    </w:p>
    <w:p>
      <w:pPr>
        <w:spacing w:line="440" w:lineRule="exact"/>
        <w:ind w:firstLine="480" w:firstLineChars="200"/>
        <w:rPr>
          <w:sz w:val="24"/>
          <w:highlight w:val="none"/>
        </w:rPr>
      </w:pPr>
      <w:r>
        <w:rPr>
          <w:sz w:val="24"/>
          <w:highlight w:val="none"/>
        </w:rPr>
        <w:t xml:space="preserve">3、如果有下列情形之一，甲方有权每次按本年度该台电梯维修维护费用的10‰扣罚，该罚金甲方可从应支付给乙方的维修维护费用中扣减。                  </w:t>
      </w:r>
    </w:p>
    <w:p>
      <w:pPr>
        <w:spacing w:line="440" w:lineRule="exact"/>
        <w:ind w:firstLine="480" w:firstLineChars="200"/>
        <w:rPr>
          <w:sz w:val="24"/>
          <w:highlight w:val="none"/>
        </w:rPr>
      </w:pPr>
      <w:r>
        <w:rPr>
          <w:sz w:val="24"/>
          <w:highlight w:val="none"/>
        </w:rPr>
        <w:t>①  不按规定时间进行维护，每次扣罚10‰</w:t>
      </w:r>
      <w:r>
        <w:rPr>
          <w:rFonts w:hint="eastAsia"/>
          <w:sz w:val="24"/>
          <w:highlight w:val="none"/>
        </w:rPr>
        <w:t xml:space="preserve"> 。</w:t>
      </w:r>
      <w:r>
        <w:rPr>
          <w:sz w:val="24"/>
          <w:highlight w:val="none"/>
        </w:rPr>
        <w:t xml:space="preserve">                           </w:t>
      </w:r>
    </w:p>
    <w:p>
      <w:pPr>
        <w:spacing w:line="440" w:lineRule="exact"/>
        <w:ind w:firstLine="480" w:firstLineChars="200"/>
        <w:rPr>
          <w:sz w:val="24"/>
          <w:highlight w:val="none"/>
        </w:rPr>
      </w:pPr>
      <w:r>
        <w:rPr>
          <w:sz w:val="24"/>
          <w:highlight w:val="none"/>
        </w:rPr>
        <w:t>②  不按规定时限进行应急响应，超过24小时没有人员到达现场。</w:t>
      </w:r>
      <w:r>
        <w:rPr>
          <w:sz w:val="24"/>
          <w:highlight w:val="none"/>
        </w:rPr>
        <w:tab/>
      </w:r>
    </w:p>
    <w:p>
      <w:pPr>
        <w:spacing w:line="440" w:lineRule="exact"/>
        <w:ind w:firstLine="480" w:firstLineChars="200"/>
        <w:rPr>
          <w:sz w:val="24"/>
          <w:highlight w:val="none"/>
        </w:rPr>
      </w:pPr>
      <w:r>
        <w:rPr>
          <w:sz w:val="24"/>
          <w:highlight w:val="none"/>
        </w:rPr>
        <w:t>③  电梯无故停运3天以上。采购或更换大型零部件情形除外。</w:t>
      </w:r>
    </w:p>
    <w:p>
      <w:pPr>
        <w:spacing w:before="156" w:beforeLines="50" w:after="156" w:afterLines="50" w:line="440" w:lineRule="exact"/>
        <w:ind w:firstLine="480" w:firstLineChars="200"/>
        <w:rPr>
          <w:sz w:val="24"/>
          <w:highlight w:val="none"/>
        </w:rPr>
      </w:pPr>
      <w:r>
        <w:rPr>
          <w:sz w:val="24"/>
          <w:highlight w:val="none"/>
        </w:rPr>
        <w:t xml:space="preserve">4、因电梯使用不当、或电梯使用管理原因导致人员伤亡或设备损坏、丢失的，由甲方自行承担全部责任。               </w:t>
      </w:r>
    </w:p>
    <w:p>
      <w:pPr>
        <w:spacing w:line="440" w:lineRule="exact"/>
        <w:ind w:firstLine="480" w:firstLineChars="200"/>
        <w:rPr>
          <w:sz w:val="24"/>
          <w:highlight w:val="none"/>
        </w:rPr>
      </w:pPr>
      <w:r>
        <w:rPr>
          <w:sz w:val="24"/>
          <w:highlight w:val="none"/>
        </w:rPr>
        <w:t>5、在乙方维修维护期内，乙方应对在正常使用情况下，因维修维护原因导致人员伤亡或设备损坏、丢失的， 由乙方承担全部责任。</w:t>
      </w:r>
    </w:p>
    <w:p>
      <w:pPr>
        <w:spacing w:before="156" w:beforeLines="50" w:line="440" w:lineRule="exact"/>
        <w:ind w:firstLine="480" w:firstLineChars="200"/>
        <w:rPr>
          <w:sz w:val="24"/>
          <w:highlight w:val="none"/>
        </w:rPr>
      </w:pPr>
      <w:r>
        <w:rPr>
          <w:sz w:val="24"/>
          <w:highlight w:val="none"/>
        </w:rPr>
        <w:t>6、因维修维护原因导致电梯检验检测不合格的，乙方承担电梯复检费用 (甲方原因造成的复检除外) 。</w:t>
      </w:r>
    </w:p>
    <w:p>
      <w:pPr>
        <w:spacing w:before="156" w:beforeLines="50" w:after="156" w:afterLines="50" w:line="440" w:lineRule="exact"/>
        <w:rPr>
          <w:sz w:val="24"/>
          <w:highlight w:val="none"/>
        </w:rPr>
      </w:pPr>
      <w:r>
        <w:rPr>
          <w:rFonts w:hint="eastAsia"/>
          <w:sz w:val="24"/>
          <w:highlight w:val="none"/>
        </w:rPr>
        <w:t>十、</w:t>
      </w:r>
      <w:r>
        <w:rPr>
          <w:sz w:val="24"/>
          <w:highlight w:val="none"/>
        </w:rPr>
        <w:t xml:space="preserve"> 合同解除</w:t>
      </w:r>
    </w:p>
    <w:p>
      <w:pPr>
        <w:spacing w:line="440" w:lineRule="exact"/>
        <w:ind w:firstLine="480" w:firstLineChars="200"/>
        <w:rPr>
          <w:sz w:val="24"/>
          <w:highlight w:val="none"/>
        </w:rPr>
      </w:pPr>
      <w:r>
        <w:rPr>
          <w:sz w:val="24"/>
          <w:highlight w:val="none"/>
        </w:rPr>
        <w:t>⑴ 甲乙双方协调一致，可以解除合同。</w:t>
      </w:r>
    </w:p>
    <w:p>
      <w:pPr>
        <w:spacing w:line="440" w:lineRule="exact"/>
        <w:ind w:firstLine="480" w:firstLineChars="200"/>
        <w:rPr>
          <w:sz w:val="24"/>
          <w:highlight w:val="none"/>
        </w:rPr>
      </w:pPr>
      <w:r>
        <w:rPr>
          <w:sz w:val="24"/>
          <w:highlight w:val="none"/>
        </w:rPr>
        <w:t>⑵ 任何一方严重违约导致合同无法继续履行的，另一方可以解除合同。</w:t>
      </w:r>
    </w:p>
    <w:p>
      <w:pPr>
        <w:spacing w:line="440" w:lineRule="exact"/>
        <w:ind w:firstLine="480" w:firstLineChars="200"/>
        <w:rPr>
          <w:sz w:val="24"/>
          <w:highlight w:val="none"/>
        </w:rPr>
      </w:pPr>
      <w:r>
        <w:rPr>
          <w:sz w:val="24"/>
          <w:highlight w:val="none"/>
        </w:rPr>
        <w:t>⑶ 此外任何一方不得单面解除合同。</w:t>
      </w:r>
    </w:p>
    <w:p>
      <w:pPr>
        <w:spacing w:before="156" w:beforeLines="50" w:after="156" w:afterLines="50" w:line="440" w:lineRule="exact"/>
        <w:rPr>
          <w:sz w:val="24"/>
          <w:highlight w:val="none"/>
        </w:rPr>
      </w:pPr>
      <w:r>
        <w:rPr>
          <w:rFonts w:hint="eastAsia"/>
          <w:sz w:val="24"/>
          <w:highlight w:val="none"/>
        </w:rPr>
        <w:t>十一、</w:t>
      </w:r>
      <w:r>
        <w:rPr>
          <w:sz w:val="24"/>
          <w:highlight w:val="none"/>
        </w:rPr>
        <w:t>争议解决方式</w:t>
      </w:r>
    </w:p>
    <w:p>
      <w:pPr>
        <w:spacing w:line="440" w:lineRule="exact"/>
        <w:ind w:firstLine="480" w:firstLineChars="200"/>
        <w:rPr>
          <w:sz w:val="24"/>
          <w:highlight w:val="none"/>
        </w:rPr>
      </w:pPr>
      <w:r>
        <w:rPr>
          <w:sz w:val="24"/>
          <w:highlight w:val="none"/>
        </w:rPr>
        <w:t>本合同履行过程中发生争议，由双方当事人协商解决或向有关部门申请调解，协商调解不成，按照第</w:t>
      </w:r>
      <w:r>
        <w:rPr>
          <w:rFonts w:hint="eastAsia"/>
          <w:sz w:val="24"/>
          <w:highlight w:val="none"/>
          <w:u w:val="single"/>
        </w:rPr>
        <w:t xml:space="preserve"> </w:t>
      </w:r>
      <w:r>
        <w:rPr>
          <w:rFonts w:hint="eastAsia" w:ascii="宋体" w:hAnsi="宋体"/>
          <w:sz w:val="24"/>
          <w:highlight w:val="none"/>
          <w:u w:val="single"/>
        </w:rPr>
        <w:t xml:space="preserve">① </w:t>
      </w:r>
      <w:r>
        <w:rPr>
          <w:sz w:val="24"/>
          <w:highlight w:val="none"/>
        </w:rPr>
        <w:t>种方式解决(任选一种)：①依法向</w:t>
      </w:r>
      <w:r>
        <w:rPr>
          <w:rFonts w:hint="eastAsia"/>
          <w:sz w:val="24"/>
          <w:highlight w:val="none"/>
        </w:rPr>
        <w:t>甲方所在地</w:t>
      </w:r>
      <w:r>
        <w:rPr>
          <w:sz w:val="24"/>
          <w:highlight w:val="none"/>
        </w:rPr>
        <w:t>人民法院起诉；② 提交电梯所在地</w:t>
      </w:r>
      <w:r>
        <w:rPr>
          <w:rFonts w:hint="eastAsia"/>
          <w:sz w:val="24"/>
          <w:highlight w:val="none"/>
          <w:lang w:val="en-US" w:eastAsia="zh-CN"/>
        </w:rPr>
        <w:t>仲</w:t>
      </w:r>
      <w:bookmarkStart w:id="99" w:name="_GoBack"/>
      <w:bookmarkEnd w:id="99"/>
      <w:r>
        <w:rPr>
          <w:sz w:val="24"/>
          <w:highlight w:val="none"/>
        </w:rPr>
        <w:t>裁委员会仲裁。</w:t>
      </w:r>
    </w:p>
    <w:p>
      <w:pPr>
        <w:spacing w:before="156" w:beforeLines="50" w:after="156" w:afterLines="50" w:line="440" w:lineRule="exact"/>
        <w:rPr>
          <w:sz w:val="24"/>
          <w:highlight w:val="none"/>
        </w:rPr>
      </w:pPr>
      <w:r>
        <w:rPr>
          <w:rFonts w:hint="eastAsia"/>
          <w:sz w:val="24"/>
          <w:highlight w:val="none"/>
        </w:rPr>
        <w:t>十二、</w:t>
      </w:r>
      <w:r>
        <w:rPr>
          <w:sz w:val="24"/>
          <w:highlight w:val="none"/>
        </w:rPr>
        <w:t>其他约定</w:t>
      </w:r>
    </w:p>
    <w:p>
      <w:pPr>
        <w:spacing w:before="156" w:beforeLines="50" w:after="156" w:afterLines="50" w:line="440" w:lineRule="exact"/>
        <w:ind w:firstLine="480" w:firstLineChars="200"/>
        <w:rPr>
          <w:sz w:val="24"/>
          <w:highlight w:val="none"/>
        </w:rPr>
      </w:pPr>
      <w:r>
        <w:rPr>
          <w:sz w:val="24"/>
          <w:highlight w:val="none"/>
        </w:rPr>
        <w:t>①普通维修、重大维修、维修损坏电梯零部件、更换全新零部件等或甲方要求乙方提供本合同约定以外的增值服务的， 双方均应当以书面形式另行约定。</w:t>
      </w:r>
    </w:p>
    <w:p>
      <w:pPr>
        <w:spacing w:before="156" w:beforeLines="50" w:after="156" w:afterLines="50" w:line="440" w:lineRule="exact"/>
        <w:ind w:firstLine="480" w:firstLineChars="200"/>
        <w:rPr>
          <w:sz w:val="24"/>
          <w:highlight w:val="none"/>
        </w:rPr>
      </w:pPr>
      <w:r>
        <w:rPr>
          <w:sz w:val="24"/>
          <w:highlight w:val="none"/>
        </w:rPr>
        <w:t>②电梯维修维护记录是记载电梯运行、维修、维护的依据，每台电梯均应当建立独立的维修维护记录。维修维护记录一式两份，甲乙双方各保存一份，保存时间为4年。普通维修、重大维修与抢修记录应当和维护记录一并保存。</w:t>
      </w:r>
    </w:p>
    <w:p>
      <w:pPr>
        <w:spacing w:before="156" w:beforeLines="50" w:after="156" w:afterLines="50" w:line="440" w:lineRule="exact"/>
        <w:ind w:firstLine="480" w:firstLineChars="200"/>
        <w:rPr>
          <w:sz w:val="24"/>
          <w:highlight w:val="none"/>
        </w:rPr>
      </w:pPr>
      <w:r>
        <w:rPr>
          <w:sz w:val="24"/>
          <w:highlight w:val="none"/>
        </w:rPr>
        <w:t>③本合同甲乙双方已协商审定，乙方先行签章，在       年   月   日之前内， 甲方须完成签章手续，逾期本合同自行失效。</w:t>
      </w:r>
    </w:p>
    <w:p>
      <w:pPr>
        <w:spacing w:line="440" w:lineRule="exact"/>
        <w:rPr>
          <w:sz w:val="24"/>
          <w:highlight w:val="none"/>
        </w:rPr>
      </w:pPr>
      <w:r>
        <w:rPr>
          <w:rFonts w:hint="eastAsia"/>
          <w:sz w:val="24"/>
          <w:highlight w:val="none"/>
        </w:rPr>
        <w:t>十三、</w:t>
      </w:r>
      <w:r>
        <w:rPr>
          <w:sz w:val="24"/>
          <w:highlight w:val="none"/>
        </w:rPr>
        <w:t>附则</w:t>
      </w:r>
    </w:p>
    <w:p>
      <w:pPr>
        <w:spacing w:before="156" w:beforeLines="50" w:after="156" w:afterLines="50" w:line="440" w:lineRule="exact"/>
        <w:ind w:firstLine="480" w:firstLineChars="200"/>
        <w:rPr>
          <w:sz w:val="24"/>
          <w:highlight w:val="none"/>
        </w:rPr>
      </w:pPr>
      <w:r>
        <w:rPr>
          <w:sz w:val="24"/>
          <w:highlight w:val="none"/>
        </w:rPr>
        <w:t>本合同生效后， 双方对合同内容的变更或补充应当采取书面形式，并经过双方签字确认，作为本合同的附件。附件与本合同具有同等的法律效力。</w:t>
      </w:r>
    </w:p>
    <w:p>
      <w:pPr>
        <w:spacing w:before="156" w:beforeLines="50" w:after="156" w:afterLines="50" w:line="440" w:lineRule="exact"/>
        <w:ind w:firstLine="480" w:firstLineChars="200"/>
        <w:rPr>
          <w:sz w:val="24"/>
          <w:highlight w:val="none"/>
        </w:rPr>
      </w:pPr>
      <w:r>
        <w:rPr>
          <w:sz w:val="24"/>
          <w:highlight w:val="none"/>
        </w:rPr>
        <w:t>本合同一式</w:t>
      </w:r>
      <w:r>
        <w:rPr>
          <w:rFonts w:hint="eastAsia"/>
          <w:sz w:val="24"/>
          <w:highlight w:val="none"/>
        </w:rPr>
        <w:t>伍</w:t>
      </w:r>
      <w:r>
        <w:rPr>
          <w:sz w:val="24"/>
          <w:highlight w:val="none"/>
        </w:rPr>
        <w:t>份，甲方执</w:t>
      </w:r>
      <w:r>
        <w:rPr>
          <w:rFonts w:hint="eastAsia"/>
          <w:sz w:val="24"/>
          <w:highlight w:val="none"/>
        </w:rPr>
        <w:t>叁</w:t>
      </w:r>
      <w:r>
        <w:rPr>
          <w:sz w:val="24"/>
          <w:highlight w:val="none"/>
        </w:rPr>
        <w:t>份，乙方执</w:t>
      </w:r>
      <w:r>
        <w:rPr>
          <w:rFonts w:hint="eastAsia"/>
          <w:sz w:val="24"/>
          <w:highlight w:val="none"/>
        </w:rPr>
        <w:t>贰</w:t>
      </w:r>
      <w:r>
        <w:rPr>
          <w:sz w:val="24"/>
          <w:highlight w:val="none"/>
        </w:rPr>
        <w:t>份。双方签字盖章即生效。</w:t>
      </w:r>
    </w:p>
    <w:p>
      <w:pPr>
        <w:rPr>
          <w:sz w:val="24"/>
          <w:highlight w:val="none"/>
        </w:rPr>
      </w:pPr>
    </w:p>
    <w:p>
      <w:pPr>
        <w:rPr>
          <w:highlight w:val="none"/>
        </w:rPr>
      </w:pPr>
      <w:r>
        <w:rPr>
          <w:sz w:val="28"/>
          <w:szCs w:val="28"/>
          <w:highlight w:val="none"/>
        </w:rPr>
        <w:t>甲方：                               乙方：</w:t>
      </w:r>
    </w:p>
    <w:p>
      <w:pPr>
        <w:spacing w:line="440" w:lineRule="exact"/>
        <w:rPr>
          <w:sz w:val="28"/>
          <w:szCs w:val="28"/>
          <w:highlight w:val="none"/>
        </w:rPr>
      </w:pPr>
      <w:r>
        <w:rPr>
          <w:sz w:val="28"/>
          <w:szCs w:val="28"/>
          <w:highlight w:val="none"/>
        </w:rPr>
        <w:t>法定代表人：                         法定代表人：</w:t>
      </w:r>
    </w:p>
    <w:p>
      <w:pPr>
        <w:spacing w:line="440" w:lineRule="exact"/>
        <w:rPr>
          <w:sz w:val="28"/>
          <w:szCs w:val="28"/>
          <w:highlight w:val="none"/>
        </w:rPr>
      </w:pPr>
      <w:r>
        <w:rPr>
          <w:sz w:val="28"/>
          <w:szCs w:val="28"/>
          <w:highlight w:val="none"/>
        </w:rPr>
        <w:t>（或授权代表）                      （或授权代表）</w:t>
      </w:r>
    </w:p>
    <w:p>
      <w:pPr>
        <w:spacing w:line="440" w:lineRule="exact"/>
        <w:rPr>
          <w:sz w:val="28"/>
          <w:szCs w:val="28"/>
          <w:highlight w:val="none"/>
        </w:rPr>
      </w:pPr>
    </w:p>
    <w:p>
      <w:pPr>
        <w:spacing w:line="660" w:lineRule="auto"/>
        <w:rPr>
          <w:sz w:val="28"/>
          <w:szCs w:val="28"/>
          <w:highlight w:val="none"/>
        </w:rPr>
      </w:pPr>
      <w:r>
        <w:rPr>
          <w:sz w:val="28"/>
          <w:szCs w:val="28"/>
          <w:highlight w:val="none"/>
        </w:rPr>
        <w:t>统一社会信用代码：                 统一社会信用代码：</w:t>
      </w:r>
    </w:p>
    <w:p>
      <w:pPr>
        <w:spacing w:line="660" w:lineRule="auto"/>
        <w:rPr>
          <w:sz w:val="28"/>
          <w:szCs w:val="28"/>
          <w:highlight w:val="none"/>
        </w:rPr>
      </w:pPr>
      <w:r>
        <w:rPr>
          <w:sz w:val="28"/>
          <w:szCs w:val="28"/>
          <w:highlight w:val="none"/>
        </w:rPr>
        <w:t>地    址：                           地    址：</w:t>
      </w:r>
    </w:p>
    <w:p>
      <w:pPr>
        <w:spacing w:line="660" w:lineRule="auto"/>
        <w:rPr>
          <w:sz w:val="28"/>
          <w:szCs w:val="28"/>
          <w:highlight w:val="none"/>
        </w:rPr>
      </w:pPr>
      <w:r>
        <w:rPr>
          <w:sz w:val="28"/>
          <w:szCs w:val="28"/>
          <w:highlight w:val="none"/>
        </w:rPr>
        <w:t>电梯安全管理员：</w:t>
      </w:r>
      <w:r>
        <w:rPr>
          <w:rFonts w:hint="eastAsia"/>
          <w:sz w:val="28"/>
          <w:szCs w:val="28"/>
          <w:highlight w:val="none"/>
        </w:rPr>
        <w:t xml:space="preserve">                     </w:t>
      </w:r>
      <w:r>
        <w:rPr>
          <w:sz w:val="28"/>
          <w:szCs w:val="28"/>
          <w:highlight w:val="none"/>
        </w:rPr>
        <w:t>开户银行：</w:t>
      </w:r>
    </w:p>
    <w:p>
      <w:pPr>
        <w:spacing w:line="660" w:lineRule="auto"/>
        <w:rPr>
          <w:sz w:val="28"/>
          <w:szCs w:val="28"/>
          <w:highlight w:val="none"/>
        </w:rPr>
      </w:pPr>
      <w:r>
        <w:rPr>
          <w:sz w:val="28"/>
          <w:szCs w:val="28"/>
          <w:highlight w:val="none"/>
        </w:rPr>
        <w:t>电梯管理(部)负责人：</w:t>
      </w:r>
      <w:r>
        <w:rPr>
          <w:rFonts w:hint="eastAsia"/>
          <w:sz w:val="28"/>
          <w:szCs w:val="28"/>
          <w:highlight w:val="none"/>
        </w:rPr>
        <w:t xml:space="preserve">                  </w:t>
      </w:r>
      <w:r>
        <w:rPr>
          <w:sz w:val="28"/>
          <w:szCs w:val="28"/>
          <w:highlight w:val="none"/>
        </w:rPr>
        <w:t>帐    号：</w:t>
      </w:r>
    </w:p>
    <w:p>
      <w:pPr>
        <w:spacing w:line="660" w:lineRule="auto"/>
        <w:rPr>
          <w:sz w:val="28"/>
          <w:szCs w:val="28"/>
          <w:highlight w:val="none"/>
        </w:rPr>
      </w:pPr>
      <w:r>
        <w:rPr>
          <w:sz w:val="28"/>
          <w:szCs w:val="28"/>
          <w:highlight w:val="none"/>
        </w:rPr>
        <w:t>电    话：                           电    话：</w:t>
      </w:r>
    </w:p>
    <w:p>
      <w:pPr>
        <w:spacing w:line="660" w:lineRule="auto"/>
        <w:rPr>
          <w:sz w:val="28"/>
          <w:szCs w:val="28"/>
          <w:highlight w:val="none"/>
        </w:rPr>
      </w:pPr>
      <w:r>
        <w:rPr>
          <w:sz w:val="28"/>
          <w:szCs w:val="28"/>
          <w:highlight w:val="none"/>
        </w:rPr>
        <w:t xml:space="preserve">传    真：                           </w:t>
      </w:r>
      <w:r>
        <w:rPr>
          <w:rFonts w:hint="eastAsia"/>
          <w:sz w:val="28"/>
          <w:szCs w:val="28"/>
          <w:highlight w:val="none"/>
        </w:rPr>
        <w:t>办公电话</w:t>
      </w:r>
      <w:r>
        <w:rPr>
          <w:sz w:val="28"/>
          <w:szCs w:val="28"/>
          <w:highlight w:val="none"/>
        </w:rPr>
        <w:t>：</w:t>
      </w:r>
    </w:p>
    <w:p>
      <w:pPr>
        <w:spacing w:line="660" w:lineRule="auto"/>
        <w:rPr>
          <w:sz w:val="28"/>
          <w:szCs w:val="28"/>
          <w:highlight w:val="none"/>
        </w:rPr>
      </w:pPr>
      <w:r>
        <w:rPr>
          <w:sz w:val="28"/>
          <w:szCs w:val="28"/>
          <w:highlight w:val="none"/>
        </w:rPr>
        <w:t>日    期：     年   月   日          日    期：     年   月   日</w:t>
      </w:r>
    </w:p>
    <w:p>
      <w:pPr>
        <w:spacing w:line="660" w:lineRule="auto"/>
        <w:rPr>
          <w:sz w:val="28"/>
          <w:szCs w:val="28"/>
          <w:highlight w:val="none"/>
        </w:rPr>
      </w:pPr>
    </w:p>
    <w:bookmarkEnd w:id="68"/>
    <w:p>
      <w:pPr>
        <w:pStyle w:val="3"/>
        <w:jc w:val="center"/>
        <w:rPr>
          <w:sz w:val="36"/>
          <w:szCs w:val="36"/>
          <w:highlight w:val="none"/>
        </w:rPr>
      </w:pPr>
      <w:bookmarkStart w:id="69" w:name="_Toc43264514"/>
      <w:bookmarkEnd w:id="69"/>
      <w:bookmarkStart w:id="70" w:name="_Toc30130"/>
      <w:bookmarkStart w:id="71" w:name="_Toc50737324"/>
      <w:bookmarkStart w:id="72" w:name="_Toc50691026"/>
      <w:bookmarkStart w:id="73" w:name="_Toc50736472"/>
      <w:bookmarkStart w:id="74" w:name="_Toc50737292"/>
      <w:bookmarkStart w:id="75" w:name="_Toc87417454"/>
      <w:bookmarkStart w:id="76" w:name="_Toc454458061"/>
      <w:r>
        <w:rPr>
          <w:rFonts w:hint="eastAsia"/>
          <w:sz w:val="36"/>
          <w:szCs w:val="36"/>
          <w:highlight w:val="none"/>
        </w:rPr>
        <w:t>第五章 响应文件格式</w:t>
      </w:r>
      <w:bookmarkEnd w:id="70"/>
      <w:bookmarkEnd w:id="71"/>
      <w:bookmarkEnd w:id="72"/>
      <w:bookmarkEnd w:id="73"/>
      <w:bookmarkEnd w:id="74"/>
      <w:bookmarkEnd w:id="75"/>
      <w:bookmarkEnd w:id="76"/>
    </w:p>
    <w:p>
      <w:pPr>
        <w:pStyle w:val="4"/>
        <w:widowControl/>
        <w:spacing w:line="440" w:lineRule="exact"/>
        <w:jc w:val="center"/>
        <w:rPr>
          <w:rFonts w:ascii="宋体" w:hAnsi="宋体" w:eastAsia="宋体" w:cs="宋体"/>
          <w:b w:val="0"/>
          <w:highlight w:val="none"/>
        </w:rPr>
      </w:pPr>
      <w:bookmarkStart w:id="77" w:name="_Toc448133318"/>
      <w:bookmarkStart w:id="78" w:name="_Toc454458062"/>
      <w:bookmarkStart w:id="79" w:name="_Toc453493041"/>
      <w:bookmarkStart w:id="80" w:name="_Toc321408662"/>
      <w:r>
        <w:rPr>
          <w:rFonts w:hint="eastAsia" w:ascii="宋体" w:hAnsi="宋体" w:eastAsia="宋体" w:cs="宋体"/>
          <w:b w:val="0"/>
          <w:highlight w:val="none"/>
        </w:rPr>
        <w:t>响应文件封面</w:t>
      </w:r>
      <w:bookmarkEnd w:id="77"/>
      <w:bookmarkEnd w:id="78"/>
      <w:bookmarkEnd w:id="79"/>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highlight w:val="none"/>
              </w:rPr>
            </w:pPr>
          </w:p>
          <w:p>
            <w:pPr>
              <w:pStyle w:val="32"/>
              <w:widowControl w:val="0"/>
              <w:spacing w:before="0" w:beforeAutospacing="0" w:after="0" w:afterAutospacing="0" w:line="360" w:lineRule="auto"/>
              <w:jc w:val="center"/>
              <w:rPr>
                <w:rFonts w:hAnsi="Times New Roman"/>
                <w:kern w:val="2"/>
                <w:sz w:val="52"/>
                <w:szCs w:val="52"/>
                <w:highlight w:val="none"/>
              </w:rPr>
            </w:pPr>
            <w:r>
              <w:rPr>
                <w:rFonts w:hint="eastAsia"/>
                <w:kern w:val="2"/>
                <w:sz w:val="52"/>
                <w:szCs w:val="52"/>
                <w:highlight w:val="none"/>
              </w:rPr>
              <w:t>广西南宁技师学院询价项目</w:t>
            </w:r>
          </w:p>
          <w:p>
            <w:pPr>
              <w:pStyle w:val="32"/>
              <w:widowControl w:val="0"/>
              <w:spacing w:before="0" w:beforeAutospacing="0" w:after="0" w:afterAutospacing="0" w:line="360" w:lineRule="auto"/>
              <w:jc w:val="center"/>
              <w:rPr>
                <w:rFonts w:hAnsi="Times New Roman"/>
                <w:kern w:val="2"/>
                <w:sz w:val="72"/>
                <w:szCs w:val="72"/>
                <w:highlight w:val="none"/>
              </w:rPr>
            </w:pPr>
            <w:r>
              <w:rPr>
                <w:rFonts w:hint="eastAsia"/>
                <w:kern w:val="2"/>
                <w:sz w:val="72"/>
                <w:szCs w:val="72"/>
                <w:highlight w:val="none"/>
              </w:rPr>
              <w:t>响应文件</w:t>
            </w:r>
          </w:p>
          <w:p>
            <w:pPr>
              <w:pStyle w:val="32"/>
              <w:widowControl w:val="0"/>
              <w:spacing w:before="0" w:beforeAutospacing="0" w:after="0" w:afterAutospacing="0" w:line="360" w:lineRule="auto"/>
              <w:jc w:val="center"/>
              <w:rPr>
                <w:rFonts w:hAnsi="Times New Roman"/>
                <w:kern w:val="2"/>
                <w:sz w:val="32"/>
                <w:szCs w:val="32"/>
                <w:highlight w:val="none"/>
              </w:rPr>
            </w:pPr>
          </w:p>
          <w:p>
            <w:pPr>
              <w:pStyle w:val="32"/>
              <w:widowControl w:val="0"/>
              <w:spacing w:before="0" w:beforeAutospacing="0" w:after="0" w:afterAutospacing="0" w:line="360" w:lineRule="auto"/>
              <w:jc w:val="center"/>
              <w:rPr>
                <w:rFonts w:ascii="黑体" w:hAnsi="Times New Roman" w:eastAsia="黑体" w:cs="黑体"/>
                <w:kern w:val="2"/>
                <w:sz w:val="32"/>
                <w:szCs w:val="32"/>
                <w:highlight w:val="none"/>
              </w:rPr>
            </w:pPr>
            <w:r>
              <w:rPr>
                <w:rFonts w:hint="eastAsia"/>
                <w:kern w:val="2"/>
                <w:sz w:val="32"/>
                <w:szCs w:val="32"/>
                <w:highlight w:val="none"/>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highlight w:val="none"/>
              </w:rPr>
            </w:pPr>
          </w:p>
          <w:p>
            <w:pPr>
              <w:pStyle w:val="32"/>
              <w:widowControl w:val="0"/>
              <w:spacing w:before="0" w:beforeAutospacing="0" w:after="0" w:afterAutospacing="0" w:line="400" w:lineRule="exact"/>
              <w:ind w:firstLine="896" w:firstLineChars="320"/>
              <w:jc w:val="both"/>
              <w:rPr>
                <w:rFonts w:hAnsi="Times New Roman"/>
                <w:kern w:val="2"/>
                <w:sz w:val="28"/>
                <w:szCs w:val="28"/>
                <w:highlight w:val="none"/>
              </w:rPr>
            </w:pPr>
          </w:p>
          <w:p>
            <w:pPr>
              <w:pStyle w:val="32"/>
              <w:widowControl w:val="0"/>
              <w:spacing w:before="0" w:beforeAutospacing="0" w:after="0" w:afterAutospacing="0" w:line="400" w:lineRule="exact"/>
              <w:ind w:firstLine="896" w:firstLineChars="320"/>
              <w:jc w:val="both"/>
              <w:rPr>
                <w:rFonts w:hAnsi="Times New Roman"/>
                <w:kern w:val="2"/>
                <w:sz w:val="28"/>
                <w:szCs w:val="28"/>
                <w:highlight w:val="none"/>
              </w:rPr>
            </w:pPr>
          </w:p>
          <w:p>
            <w:pPr>
              <w:pStyle w:val="32"/>
              <w:widowControl w:val="0"/>
              <w:spacing w:before="0" w:beforeAutospacing="0" w:after="0" w:afterAutospacing="0" w:line="400" w:lineRule="exact"/>
              <w:ind w:firstLine="896" w:firstLineChars="320"/>
              <w:jc w:val="both"/>
              <w:rPr>
                <w:rFonts w:hAnsi="Times New Roman"/>
                <w:kern w:val="2"/>
                <w:sz w:val="28"/>
                <w:szCs w:val="28"/>
                <w:highlight w:val="none"/>
              </w:rPr>
            </w:pPr>
          </w:p>
          <w:p>
            <w:pPr>
              <w:pStyle w:val="32"/>
              <w:widowControl w:val="0"/>
              <w:spacing w:before="0" w:beforeAutospacing="0" w:after="0" w:afterAutospacing="0" w:line="400" w:lineRule="exact"/>
              <w:ind w:firstLine="896" w:firstLineChars="320"/>
              <w:jc w:val="both"/>
              <w:rPr>
                <w:rFonts w:hAnsi="Times New Roman"/>
                <w:kern w:val="2"/>
                <w:sz w:val="28"/>
                <w:szCs w:val="28"/>
                <w:highlight w:val="none"/>
              </w:rPr>
            </w:pPr>
          </w:p>
          <w:p>
            <w:pPr>
              <w:pStyle w:val="32"/>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项目编号：</w:t>
            </w:r>
          </w:p>
          <w:p>
            <w:pPr>
              <w:pStyle w:val="32"/>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项目名称：</w:t>
            </w:r>
          </w:p>
          <w:p>
            <w:pPr>
              <w:pStyle w:val="32"/>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供应商名称（公章）：</w:t>
            </w:r>
          </w:p>
          <w:p>
            <w:pPr>
              <w:pStyle w:val="32"/>
              <w:widowControl w:val="0"/>
              <w:spacing w:before="0" w:beforeAutospacing="0" w:after="120" w:afterAutospacing="0"/>
              <w:ind w:left="708" w:leftChars="337"/>
              <w:jc w:val="both"/>
              <w:rPr>
                <w:kern w:val="2"/>
                <w:sz w:val="28"/>
                <w:szCs w:val="28"/>
                <w:highlight w:val="none"/>
              </w:rPr>
            </w:pPr>
            <w:r>
              <w:rPr>
                <w:rFonts w:hint="eastAsia" w:ascii="Times New Roman" w:hAnsi="Times New Roman"/>
                <w:kern w:val="2"/>
                <w:sz w:val="28"/>
                <w:szCs w:val="28"/>
                <w:highlight w:val="none"/>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highlight w:val="none"/>
              </w:rPr>
            </w:pPr>
          </w:p>
        </w:tc>
      </w:tr>
      <w:bookmarkEnd w:id="80"/>
    </w:tbl>
    <w:p>
      <w:pPr>
        <w:outlineLvl w:val="1"/>
        <w:rPr>
          <w:rFonts w:ascii="宋体" w:hAnsi="Times New Roman" w:cs="宋体"/>
          <w:color w:val="FF0000"/>
          <w:kern w:val="0"/>
          <w:highlight w:val="none"/>
        </w:rPr>
      </w:pPr>
    </w:p>
    <w:p>
      <w:pPr>
        <w:pStyle w:val="2"/>
        <w:ind w:firstLine="210"/>
        <w:rPr>
          <w:highlight w:val="none"/>
        </w:rPr>
      </w:pPr>
    </w:p>
    <w:p>
      <w:pPr>
        <w:pStyle w:val="32"/>
        <w:widowControl w:val="0"/>
        <w:numPr>
          <w:ilvl w:val="0"/>
          <w:numId w:val="4"/>
        </w:numPr>
        <w:spacing w:before="0" w:beforeAutospacing="0" w:after="0" w:afterAutospacing="0"/>
        <w:rPr>
          <w:rFonts w:ascii="Arial" w:hAnsi="Arial" w:eastAsia="黑体"/>
          <w:sz w:val="28"/>
          <w:szCs w:val="28"/>
          <w:highlight w:val="none"/>
        </w:rPr>
      </w:pPr>
      <w:bookmarkStart w:id="81" w:name="_Toc52165077"/>
      <w:bookmarkStart w:id="82" w:name="_Toc50736473"/>
      <w:bookmarkStart w:id="83" w:name="_Toc50737293"/>
      <w:bookmarkStart w:id="84" w:name="_Toc168212179"/>
      <w:bookmarkStart w:id="85" w:name="_Toc50691028"/>
      <w:bookmarkStart w:id="86" w:name="_Toc50737325"/>
    </w:p>
    <w:p>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询价响应函</w:t>
      </w:r>
      <w:bookmarkEnd w:id="81"/>
      <w:bookmarkEnd w:id="82"/>
      <w:bookmarkEnd w:id="83"/>
      <w:bookmarkEnd w:id="84"/>
      <w:bookmarkEnd w:id="85"/>
      <w:bookmarkEnd w:id="86"/>
    </w:p>
    <w:p>
      <w:pPr>
        <w:spacing w:line="360" w:lineRule="auto"/>
        <w:ind w:left="105" w:leftChars="50" w:firstLine="2"/>
        <w:rPr>
          <w:rFonts w:ascii="宋体" w:hAnsi="Times New Roman" w:cs="宋体"/>
          <w:b/>
          <w:color w:val="000000"/>
          <w:highlight w:val="none"/>
        </w:rPr>
      </w:pPr>
      <w:r>
        <w:rPr>
          <w:rFonts w:hint="eastAsia" w:ascii="宋体" w:hAnsi="宋体" w:cs="宋体"/>
          <w:b/>
          <w:color w:val="000000"/>
          <w:highlight w:val="none"/>
        </w:rPr>
        <w:t>致：广西南宁技师学院</w:t>
      </w:r>
    </w:p>
    <w:p>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我方确认收到贵方</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u w:val="single"/>
        </w:rPr>
        <w:t>（</w:t>
      </w:r>
      <w:r>
        <w:rPr>
          <w:rFonts w:hint="eastAsia" w:ascii="宋体" w:hAnsi="宋体" w:cs="宋体"/>
          <w:color w:val="000000"/>
          <w:kern w:val="0"/>
          <w:highlight w:val="none"/>
          <w:u w:val="single"/>
        </w:rPr>
        <w:t>项目名称</w:t>
      </w:r>
      <w:r>
        <w:rPr>
          <w:rFonts w:hint="eastAsia" w:ascii="宋体" w:hAnsi="宋体" w:cs="宋体"/>
          <w:highlight w:val="none"/>
          <w:u w:val="single"/>
        </w:rPr>
        <w:t>）</w:t>
      </w:r>
      <w:r>
        <w:rPr>
          <w:rFonts w:ascii="宋体" w:hAnsi="宋体" w:cs="宋体"/>
          <w:highlight w:val="none"/>
          <w:u w:val="single"/>
        </w:rPr>
        <w:t xml:space="preserve">   </w:t>
      </w:r>
      <w:r>
        <w:rPr>
          <w:rFonts w:hint="eastAsia" w:ascii="宋体" w:hAnsi="宋体" w:cs="宋体"/>
          <w:color w:val="000000"/>
          <w:highlight w:val="none"/>
        </w:rPr>
        <w:t>的询价文件（项目编号</w:t>
      </w:r>
      <w:r>
        <w:rPr>
          <w:rFonts w:hint="eastAsia" w:ascii="宋体" w:hAnsi="宋体" w:cs="宋体"/>
          <w:highlight w:val="none"/>
        </w:rPr>
        <w:t>：</w:t>
      </w:r>
      <w:r>
        <w:rPr>
          <w:rFonts w:ascii="宋体" w:hAnsi="宋体" w:cs="宋体"/>
          <w:highlight w:val="none"/>
          <w:u w:val="single"/>
        </w:rPr>
        <w:t xml:space="preserve">              </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color w:val="000000"/>
          <w:highlight w:val="none"/>
          <w:u w:val="single"/>
        </w:rPr>
        <w:t xml:space="preserve">供应商名称、地址)   </w:t>
      </w:r>
      <w:r>
        <w:rPr>
          <w:rFonts w:hint="eastAsia" w:ascii="宋体" w:hAnsi="宋体" w:cs="宋体"/>
          <w:color w:val="000000"/>
          <w:highlight w:val="none"/>
        </w:rPr>
        <w:t>作为供应商已正式授权</w:t>
      </w:r>
      <w:r>
        <w:rPr>
          <w:rFonts w:hint="eastAsia" w:ascii="宋体" w:hAnsi="宋体" w:cs="宋体"/>
          <w:color w:val="000000"/>
          <w:highlight w:val="none"/>
          <w:u w:val="single"/>
        </w:rPr>
        <w:t xml:space="preserve">    (供应商授权代表全名、职务)   </w:t>
      </w:r>
      <w:r>
        <w:rPr>
          <w:rFonts w:hint="eastAsia" w:ascii="宋体" w:hAnsi="宋体" w:cs="宋体"/>
          <w:color w:val="000000"/>
          <w:highlight w:val="none"/>
        </w:rPr>
        <w:t>，代表我方提交响应文件进行询价并签署本项目的相关文件。</w:t>
      </w:r>
    </w:p>
    <w:p>
      <w:pPr>
        <w:spacing w:line="360" w:lineRule="auto"/>
        <w:ind w:firstLine="420" w:firstLineChars="200"/>
        <w:rPr>
          <w:rFonts w:ascii="宋体" w:hAnsi="Times New Roman" w:cs="宋体"/>
          <w:color w:val="000000"/>
          <w:highlight w:val="none"/>
        </w:rPr>
      </w:pPr>
      <w:r>
        <w:rPr>
          <w:rFonts w:hint="eastAsia" w:ascii="宋体" w:hAnsi="宋体" w:cs="宋体"/>
          <w:color w:val="000000"/>
          <w:highlight w:val="none"/>
        </w:rPr>
        <w:t>授权代表在此声明并同意：</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1.我们愿意遵守采购人询价文件的各项规定，自愿参加询价</w:t>
      </w:r>
      <w:r>
        <w:rPr>
          <w:rFonts w:hint="eastAsia" w:ascii="宋体" w:hAnsi="Times New Roman" w:cs="宋体"/>
          <w:color w:val="000000"/>
          <w:highlight w:val="none"/>
        </w:rPr>
        <w:t>,</w:t>
      </w:r>
      <w:r>
        <w:rPr>
          <w:rFonts w:hint="eastAsia" w:ascii="宋体" w:hAnsi="宋体" w:cs="宋体"/>
          <w:color w:val="000000"/>
          <w:highlight w:val="none"/>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2.我们同意本响应文件自询价开始之</w:t>
      </w:r>
      <w:r>
        <w:rPr>
          <w:rFonts w:hint="eastAsia" w:ascii="宋体" w:hAnsi="宋体" w:cs="宋体"/>
          <w:highlight w:val="none"/>
        </w:rPr>
        <w:t>日起</w:t>
      </w:r>
      <w:r>
        <w:rPr>
          <w:rFonts w:hint="eastAsia" w:ascii="宋体" w:hAnsi="宋体" w:cs="宋体"/>
          <w:highlight w:val="none"/>
          <w:u w:val="single"/>
        </w:rPr>
        <w:t>90</w:t>
      </w:r>
      <w:r>
        <w:rPr>
          <w:rFonts w:hint="eastAsia" w:ascii="宋体" w:hAnsi="宋体" w:cs="宋体"/>
          <w:highlight w:val="none"/>
        </w:rPr>
        <w:t>天内</w:t>
      </w:r>
      <w:r>
        <w:rPr>
          <w:rFonts w:hint="eastAsia" w:ascii="宋体" w:hAnsi="宋体" w:cs="宋体"/>
          <w:color w:val="000000"/>
          <w:highlight w:val="none"/>
        </w:rPr>
        <w:t>有效。</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highlight w:val="none"/>
        </w:rPr>
      </w:pPr>
      <w:r>
        <w:rPr>
          <w:rFonts w:hint="eastAsia" w:ascii="宋体" w:hAnsi="宋体" w:cs="宋体"/>
          <w:color w:val="000000"/>
          <w:highlight w:val="none"/>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highlight w:val="none"/>
        </w:rPr>
      </w:pPr>
      <w:r>
        <w:rPr>
          <w:rFonts w:hint="eastAsia" w:ascii="宋体" w:hAnsi="宋体" w:cs="宋体"/>
          <w:color w:val="000000"/>
          <w:highlight w:val="none"/>
        </w:rPr>
        <w:t>8.我们是依法注册的法人，在法律、财务及运作上完</w:t>
      </w:r>
      <w:r>
        <w:rPr>
          <w:rFonts w:hint="eastAsia" w:ascii="宋体" w:hAnsi="宋体" w:cs="宋体"/>
          <w:highlight w:val="none"/>
        </w:rPr>
        <w:t>全独立于采购人。</w:t>
      </w:r>
    </w:p>
    <w:p>
      <w:pPr>
        <w:autoSpaceDE w:val="0"/>
        <w:autoSpaceDN w:val="0"/>
        <w:adjustRightInd w:val="0"/>
        <w:snapToGrid w:val="0"/>
        <w:spacing w:line="400" w:lineRule="exact"/>
        <w:ind w:left="420" w:firstLine="310"/>
        <w:rPr>
          <w:rFonts w:ascii="宋体" w:hAnsi="Times New Roman" w:cs="宋体"/>
          <w:color w:val="000000"/>
          <w:highlight w:val="none"/>
          <w:u w:val="single"/>
        </w:rPr>
      </w:pPr>
    </w:p>
    <w:p>
      <w:pPr>
        <w:adjustRightInd w:val="0"/>
        <w:snapToGrid w:val="0"/>
        <w:spacing w:line="400" w:lineRule="exact"/>
        <w:ind w:left="480"/>
        <w:rPr>
          <w:rFonts w:ascii="宋体" w:hAnsi="Times New Roman" w:cs="宋体"/>
          <w:color w:val="000000"/>
          <w:highlight w:val="none"/>
        </w:rPr>
      </w:pPr>
    </w:p>
    <w:p>
      <w:pPr>
        <w:adjustRightInd w:val="0"/>
        <w:snapToGrid w:val="0"/>
        <w:spacing w:line="360" w:lineRule="auto"/>
        <w:ind w:left="480"/>
        <w:rPr>
          <w:rFonts w:ascii="宋体" w:hAnsi="Times New Roman" w:cs="宋体"/>
          <w:color w:val="000000"/>
          <w:highlight w:val="none"/>
        </w:rPr>
      </w:pPr>
    </w:p>
    <w:p>
      <w:pPr>
        <w:adjustRightInd w:val="0"/>
        <w:snapToGrid w:val="0"/>
        <w:spacing w:line="360" w:lineRule="auto"/>
        <w:ind w:left="480"/>
        <w:rPr>
          <w:rFonts w:ascii="宋体" w:hAnsi="Times New Roman" w:cs="宋体"/>
          <w:color w:val="000000"/>
          <w:highlight w:val="none"/>
        </w:rPr>
      </w:pPr>
    </w:p>
    <w:p>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pPr>
        <w:adjustRightInd w:val="0"/>
        <w:snapToGrid w:val="0"/>
        <w:spacing w:line="360" w:lineRule="auto"/>
        <w:ind w:left="480"/>
        <w:rPr>
          <w:rFonts w:ascii="宋体" w:hAnsi="宋体" w:cs="宋体"/>
          <w:color w:val="000000"/>
          <w:highlight w:val="none"/>
        </w:rPr>
      </w:pPr>
    </w:p>
    <w:p>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pPr>
        <w:adjustRightInd w:val="0"/>
        <w:snapToGrid w:val="0"/>
        <w:spacing w:line="360" w:lineRule="auto"/>
        <w:ind w:firstLine="472" w:firstLineChars="225"/>
        <w:rPr>
          <w:rFonts w:ascii="宋体" w:hAnsi="Times New Roman" w:cs="宋体"/>
          <w:highlight w:val="none"/>
        </w:rPr>
      </w:pPr>
    </w:p>
    <w:p>
      <w:pPr>
        <w:adjustRightInd w:val="0"/>
        <w:snapToGrid w:val="0"/>
        <w:spacing w:line="360" w:lineRule="auto"/>
        <w:ind w:firstLine="472" w:firstLineChars="225"/>
        <w:rPr>
          <w:rFonts w:ascii="宋体" w:hAnsi="Times New Roman" w:cs="宋体"/>
          <w:color w:val="000000"/>
          <w:highlight w:val="none"/>
        </w:rPr>
      </w:pPr>
      <w:r>
        <w:rPr>
          <w:rFonts w:hint="eastAsia" w:ascii="宋体" w:hAnsi="宋体" w:cs="宋体"/>
          <w:color w:val="000000"/>
          <w:highlight w:val="none"/>
        </w:rPr>
        <w:t>日期：</w:t>
      </w:r>
    </w:p>
    <w:p>
      <w:pPr>
        <w:adjustRightInd w:val="0"/>
        <w:snapToGrid w:val="0"/>
        <w:spacing w:line="360" w:lineRule="auto"/>
        <w:ind w:firstLine="472" w:firstLineChars="225"/>
        <w:rPr>
          <w:rFonts w:ascii="宋体" w:hAnsi="Times New Roman" w:cs="宋体"/>
          <w:color w:val="000000"/>
          <w:highlight w:val="none"/>
        </w:rPr>
      </w:pPr>
    </w:p>
    <w:p>
      <w:pPr>
        <w:spacing w:line="360" w:lineRule="auto"/>
        <w:ind w:left="105" w:leftChars="50" w:firstLine="2"/>
        <w:rPr>
          <w:rFonts w:ascii="宋体" w:hAnsi="Times New Roman" w:cs="宋体"/>
          <w:highlight w:val="none"/>
        </w:rPr>
      </w:pPr>
    </w:p>
    <w:p>
      <w:pPr>
        <w:rPr>
          <w:rFonts w:ascii="宋体" w:hAnsi="Times New Roman"/>
          <w:highlight w:val="none"/>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highlight w:val="none"/>
        </w:rPr>
      </w:pPr>
      <w:bookmarkStart w:id="87" w:name="_Toc50703722"/>
      <w:bookmarkStart w:id="88" w:name="_Toc43264516"/>
      <w:bookmarkStart w:id="89" w:name="_Toc50691029"/>
    </w:p>
    <w:p>
      <w:pPr>
        <w:jc w:val="center"/>
        <w:outlineLvl w:val="1"/>
        <w:rPr>
          <w:rFonts w:ascii="黑体" w:hAnsi="宋体" w:eastAsia="黑体" w:cs="黑体"/>
          <w:kern w:val="0"/>
          <w:sz w:val="32"/>
          <w:szCs w:val="32"/>
          <w:highlight w:val="none"/>
        </w:rPr>
      </w:pPr>
      <w:bookmarkStart w:id="90" w:name="_Toc237145559"/>
      <w:r>
        <w:rPr>
          <w:rFonts w:hint="eastAsia" w:ascii="黑体" w:hAnsi="宋体" w:eastAsia="黑体" w:cs="黑体"/>
          <w:kern w:val="0"/>
          <w:sz w:val="32"/>
          <w:szCs w:val="32"/>
          <w:highlight w:val="none"/>
        </w:rPr>
        <w:t>供应商资格声明函</w:t>
      </w:r>
      <w:bookmarkEnd w:id="90"/>
    </w:p>
    <w:p>
      <w:pPr>
        <w:spacing w:line="360" w:lineRule="auto"/>
        <w:ind w:firstLine="420"/>
        <w:rPr>
          <w:rFonts w:ascii="Times New Roman" w:hAnsi="Times New Roman" w:cs="宋体"/>
          <w:highlight w:val="none"/>
        </w:rPr>
      </w:pPr>
      <w:r>
        <w:rPr>
          <w:rFonts w:hint="eastAsia" w:ascii="Times New Roman" w:hAnsi="Times New Roman" w:cs="宋体"/>
          <w:highlight w:val="none"/>
        </w:rPr>
        <w:t>广西南宁技师学院：</w:t>
      </w:r>
    </w:p>
    <w:p>
      <w:pPr>
        <w:spacing w:line="360" w:lineRule="auto"/>
        <w:ind w:firstLine="420"/>
        <w:rPr>
          <w:rFonts w:ascii="Times New Roman" w:hAnsi="Times New Roman" w:cs="宋体"/>
          <w:highlight w:val="none"/>
        </w:rPr>
      </w:pPr>
      <w:r>
        <w:rPr>
          <w:rFonts w:hint="eastAsia" w:ascii="Times New Roman" w:hAnsi="Times New Roman" w:cs="宋体"/>
          <w:highlight w:val="none"/>
        </w:rPr>
        <w:t>关于贵单位</w:t>
      </w:r>
      <w:r>
        <w:rPr>
          <w:rFonts w:hint="eastAsia" w:ascii="Times New Roman" w:hAnsi="Times New Roman" w:cs="宋体"/>
          <w:highlight w:val="none"/>
          <w:u w:val="single"/>
        </w:rPr>
        <w:t xml:space="preserve">    </w:t>
      </w:r>
      <w:r>
        <w:rPr>
          <w:rFonts w:hint="eastAsia" w:ascii="Times New Roman" w:hAnsi="Times New Roman" w:cs="宋体"/>
          <w:highlight w:val="none"/>
        </w:rPr>
        <w:t>年</w:t>
      </w:r>
      <w:r>
        <w:rPr>
          <w:rFonts w:hint="eastAsia" w:ascii="Times New Roman" w:hAnsi="Times New Roman" w:cs="宋体"/>
          <w:highlight w:val="none"/>
          <w:u w:val="single"/>
        </w:rPr>
        <w:t xml:space="preserve">   </w:t>
      </w:r>
      <w:r>
        <w:rPr>
          <w:rFonts w:hint="eastAsia" w:ascii="Times New Roman" w:hAnsi="Times New Roman" w:cs="宋体"/>
          <w:highlight w:val="none"/>
        </w:rPr>
        <w:t>月</w:t>
      </w:r>
      <w:r>
        <w:rPr>
          <w:rFonts w:hint="eastAsia" w:ascii="Times New Roman" w:hAnsi="Times New Roman" w:cs="宋体"/>
          <w:highlight w:val="none"/>
          <w:u w:val="single"/>
        </w:rPr>
        <w:t xml:space="preserve">   </w:t>
      </w:r>
      <w:r>
        <w:rPr>
          <w:rFonts w:hint="eastAsia" w:ascii="Times New Roman" w:hAnsi="Times New Roman" w:cs="宋体"/>
          <w:highlight w:val="none"/>
        </w:rPr>
        <w:t>日发布</w:t>
      </w:r>
      <w:r>
        <w:rPr>
          <w:rFonts w:ascii="Times New Roman" w:hAnsi="Times New Roman" w:cs="宋体"/>
          <w:highlight w:val="none"/>
          <w:u w:val="single"/>
        </w:rPr>
        <w:t xml:space="preserve">                         </w:t>
      </w:r>
      <w:r>
        <w:rPr>
          <w:rFonts w:hint="eastAsia" w:ascii="Times New Roman" w:hAnsi="Times New Roman" w:cs="宋体"/>
          <w:highlight w:val="none"/>
        </w:rPr>
        <w:t>项目（项目编号：</w:t>
      </w:r>
      <w:r>
        <w:rPr>
          <w:rFonts w:hint="eastAsia" w:ascii="Times New Roman" w:hAnsi="Times New Roman" w:cs="宋体"/>
          <w:highlight w:val="none"/>
          <w:u w:val="single"/>
        </w:rPr>
        <w:t xml:space="preserve">    </w:t>
      </w:r>
      <w:r>
        <w:rPr>
          <w:rFonts w:ascii="Times New Roman" w:hAnsi="Times New Roman" w:cs="宋体"/>
          <w:highlight w:val="none"/>
          <w:u w:val="single"/>
        </w:rPr>
        <w:t xml:space="preserve">         </w:t>
      </w:r>
      <w:r>
        <w:rPr>
          <w:rFonts w:hint="eastAsia" w:ascii="Times New Roman" w:hAnsi="Times New Roman" w:cs="宋体"/>
          <w:highlight w:val="none"/>
          <w:u w:val="single"/>
        </w:rPr>
        <w:t xml:space="preserve">    </w:t>
      </w:r>
      <w:r>
        <w:rPr>
          <w:rFonts w:hint="eastAsia" w:ascii="Times New Roman" w:hAnsi="Times New Roman" w:cs="宋体"/>
          <w:highlight w:val="none"/>
        </w:rPr>
        <w:t>）的采购公告，本公司（企业）愿意参加报价，并声明：</w:t>
      </w:r>
    </w:p>
    <w:p>
      <w:pPr>
        <w:spacing w:line="360" w:lineRule="auto"/>
        <w:ind w:firstLine="420"/>
        <w:rPr>
          <w:rFonts w:ascii="Times New Roman" w:hAnsi="Times New Roman" w:cs="宋体"/>
          <w:highlight w:val="none"/>
        </w:rPr>
      </w:pPr>
      <w:r>
        <w:rPr>
          <w:rFonts w:hint="eastAsia" w:ascii="Times New Roman" w:hAnsi="Times New Roman" w:cs="宋体"/>
          <w:highlight w:val="none"/>
        </w:rPr>
        <w:t>一、本公司（企业）具备《中华人民共和国政府采购法》第二十二条规定的条件：</w:t>
      </w:r>
    </w:p>
    <w:p>
      <w:pPr>
        <w:spacing w:line="360" w:lineRule="auto"/>
        <w:ind w:firstLine="420"/>
        <w:rPr>
          <w:rFonts w:ascii="Times New Roman" w:hAnsi="Times New Roman" w:cs="宋体"/>
          <w:highlight w:val="none"/>
        </w:rPr>
      </w:pPr>
      <w:r>
        <w:rPr>
          <w:rFonts w:hint="eastAsia" w:ascii="Times New Roman" w:hAnsi="Times New Roman" w:cs="宋体"/>
          <w:highlight w:val="none"/>
        </w:rPr>
        <w:t>（一）具有独立承担民事责任的能力；</w:t>
      </w:r>
    </w:p>
    <w:p>
      <w:pPr>
        <w:spacing w:line="360" w:lineRule="auto"/>
        <w:ind w:firstLine="420"/>
        <w:rPr>
          <w:rFonts w:ascii="Times New Roman" w:hAnsi="Times New Roman" w:cs="宋体"/>
          <w:highlight w:val="none"/>
        </w:rPr>
      </w:pPr>
      <w:r>
        <w:rPr>
          <w:rFonts w:hint="eastAsia" w:ascii="Times New Roman" w:hAnsi="Times New Roman" w:cs="宋体"/>
          <w:highlight w:val="none"/>
        </w:rPr>
        <w:t>（二）具有良好的商业信誉和健全的财务会计制度；</w:t>
      </w:r>
    </w:p>
    <w:p>
      <w:pPr>
        <w:spacing w:line="360" w:lineRule="auto"/>
        <w:ind w:firstLine="420"/>
        <w:rPr>
          <w:rFonts w:ascii="Times New Roman" w:hAnsi="Times New Roman" w:cs="宋体"/>
          <w:highlight w:val="none"/>
        </w:rPr>
      </w:pPr>
      <w:r>
        <w:rPr>
          <w:rFonts w:hint="eastAsia" w:ascii="Times New Roman" w:hAnsi="Times New Roman" w:cs="宋体"/>
          <w:highlight w:val="none"/>
        </w:rPr>
        <w:t>（三）具有履行合同所必需的设备和专业技术能力；</w:t>
      </w:r>
    </w:p>
    <w:p>
      <w:pPr>
        <w:spacing w:line="360" w:lineRule="auto"/>
        <w:ind w:firstLine="420"/>
        <w:rPr>
          <w:rFonts w:ascii="Times New Roman" w:hAnsi="Times New Roman" w:cs="宋体"/>
          <w:highlight w:val="none"/>
        </w:rPr>
      </w:pPr>
      <w:r>
        <w:rPr>
          <w:rFonts w:hint="eastAsia" w:ascii="Times New Roman" w:hAnsi="Times New Roman" w:cs="宋体"/>
          <w:highlight w:val="none"/>
        </w:rPr>
        <w:t>（四）有依法缴纳税收和社会保障资金的良好记录；</w:t>
      </w:r>
    </w:p>
    <w:p>
      <w:pPr>
        <w:spacing w:line="360" w:lineRule="auto"/>
        <w:ind w:firstLine="420" w:firstLineChars="200"/>
        <w:rPr>
          <w:rFonts w:ascii="Times New Roman" w:hAnsi="Times New Roman" w:cs="宋体"/>
          <w:highlight w:val="none"/>
        </w:rPr>
      </w:pPr>
      <w:r>
        <w:rPr>
          <w:rFonts w:hint="eastAsia" w:ascii="Times New Roman" w:hAnsi="Times New Roman" w:cs="宋体"/>
          <w:highlight w:val="none"/>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highlight w:val="none"/>
        </w:rPr>
      </w:pPr>
      <w:r>
        <w:rPr>
          <w:rFonts w:hint="eastAsia" w:ascii="Times New Roman" w:hAnsi="Times New Roman" w:cs="宋体"/>
          <w:highlight w:val="none"/>
        </w:rPr>
        <w:t>（六）法律、行政法规规定的其他条件。</w:t>
      </w:r>
    </w:p>
    <w:p>
      <w:pPr>
        <w:spacing w:line="360" w:lineRule="auto"/>
        <w:ind w:firstLine="420"/>
        <w:rPr>
          <w:rFonts w:ascii="Times New Roman" w:hAnsi="Times New Roman" w:cs="宋体"/>
          <w:highlight w:val="none"/>
        </w:rPr>
      </w:pPr>
      <w:r>
        <w:rPr>
          <w:rFonts w:hint="eastAsia" w:ascii="Times New Roman" w:hAnsi="Times New Roman" w:cs="宋体"/>
          <w:highlight w:val="none"/>
        </w:rPr>
        <w:t>二、本公司（企业）未被广西南宁技师学院曝光或记录供应商不良行为。</w:t>
      </w:r>
    </w:p>
    <w:p>
      <w:pPr>
        <w:spacing w:line="360" w:lineRule="auto"/>
        <w:ind w:firstLine="420"/>
        <w:rPr>
          <w:rFonts w:ascii="Times New Roman" w:hAnsi="Times New Roman" w:cs="宋体"/>
          <w:highlight w:val="none"/>
        </w:rPr>
      </w:pPr>
      <w:r>
        <w:rPr>
          <w:rFonts w:hint="eastAsia" w:ascii="Times New Roman" w:hAnsi="Times New Roman" w:cs="宋体"/>
          <w:highlight w:val="none"/>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highlight w:val="none"/>
        </w:rPr>
      </w:pPr>
      <w:r>
        <w:rPr>
          <w:rFonts w:hint="eastAsia" w:ascii="Times New Roman" w:hAnsi="Times New Roman" w:cs="宋体"/>
          <w:highlight w:val="none"/>
        </w:rPr>
        <w:t>三、我方承诺单位负责人为同一人或者存在直接控股、管理关系的不同供应商，不得同时参加本采购项目报价。</w:t>
      </w:r>
    </w:p>
    <w:p>
      <w:pPr>
        <w:spacing w:line="360" w:lineRule="auto"/>
        <w:ind w:firstLine="420"/>
        <w:rPr>
          <w:rFonts w:ascii="Times New Roman" w:hAnsi="Times New Roman" w:cs="宋体"/>
          <w:highlight w:val="none"/>
        </w:rPr>
      </w:pPr>
      <w:r>
        <w:rPr>
          <w:rFonts w:hint="eastAsia" w:ascii="Times New Roman" w:hAnsi="Times New Roman" w:cs="宋体"/>
          <w:highlight w:val="none"/>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highlight w:val="none"/>
        </w:rPr>
      </w:pPr>
      <w:r>
        <w:rPr>
          <w:rFonts w:hint="eastAsia" w:ascii="Times New Roman" w:hAnsi="Times New Roman" w:cs="宋体"/>
          <w:highlight w:val="none"/>
        </w:rPr>
        <w:t>特此声明！</w:t>
      </w:r>
    </w:p>
    <w:p>
      <w:pPr>
        <w:spacing w:line="360" w:lineRule="auto"/>
        <w:ind w:firstLine="420"/>
        <w:rPr>
          <w:highlight w:val="none"/>
        </w:rPr>
      </w:pPr>
      <w:r>
        <w:rPr>
          <w:rFonts w:hint="eastAsia" w:ascii="Times New Roman" w:hAnsi="Times New Roman" w:cs="宋体"/>
          <w:highlight w:val="none"/>
        </w:rPr>
        <w:t>备注：1. 本声明函如有虚假或与事实不符的，作无效报价处理。</w:t>
      </w:r>
    </w:p>
    <w:p>
      <w:pPr>
        <w:spacing w:line="360" w:lineRule="auto"/>
        <w:ind w:firstLine="420"/>
        <w:rPr>
          <w:highlight w:val="none"/>
        </w:rPr>
      </w:pPr>
    </w:p>
    <w:p>
      <w:pPr>
        <w:spacing w:line="360" w:lineRule="auto"/>
        <w:ind w:firstLine="420"/>
        <w:rPr>
          <w:highlight w:val="none"/>
        </w:rPr>
      </w:pPr>
    </w:p>
    <w:p>
      <w:pPr>
        <w:spacing w:line="360" w:lineRule="auto"/>
        <w:ind w:firstLine="420"/>
        <w:rPr>
          <w:highlight w:val="none"/>
        </w:rPr>
      </w:pPr>
    </w:p>
    <w:p>
      <w:pPr>
        <w:adjustRightInd w:val="0"/>
        <w:snapToGrid w:val="0"/>
        <w:spacing w:line="360" w:lineRule="auto"/>
        <w:ind w:left="480"/>
        <w:rPr>
          <w:rFonts w:ascii="宋体" w:hAnsi="宋体" w:cs="宋体"/>
          <w:color w:val="000000"/>
          <w:highlight w:val="none"/>
        </w:rPr>
      </w:pPr>
      <w:r>
        <w:rPr>
          <w:rFonts w:hint="eastAsia" w:ascii="宋体" w:hAnsi="宋体" w:cs="宋体"/>
          <w:color w:val="000000"/>
          <w:highlight w:val="none"/>
        </w:rPr>
        <w:t>供应商名称（公章）:</w:t>
      </w:r>
    </w:p>
    <w:p>
      <w:pPr>
        <w:adjustRightInd w:val="0"/>
        <w:snapToGrid w:val="0"/>
        <w:spacing w:line="360" w:lineRule="auto"/>
        <w:ind w:left="480"/>
        <w:rPr>
          <w:rFonts w:ascii="宋体" w:hAnsi="宋体" w:cs="宋体"/>
          <w:color w:val="000000"/>
          <w:highlight w:val="none"/>
        </w:rPr>
      </w:pPr>
    </w:p>
    <w:p>
      <w:pPr>
        <w:adjustRightInd w:val="0"/>
        <w:snapToGrid w:val="0"/>
        <w:spacing w:line="360" w:lineRule="auto"/>
        <w:ind w:firstLine="472" w:firstLineChars="225"/>
        <w:rPr>
          <w:rFonts w:ascii="宋体" w:hAnsi="Times New Roman" w:cs="宋体"/>
          <w:highlight w:val="none"/>
        </w:rPr>
      </w:pPr>
      <w:r>
        <w:rPr>
          <w:rFonts w:hint="eastAsia" w:ascii="宋体" w:hAnsi="Times New Roman" w:cs="宋体"/>
          <w:highlight w:val="none"/>
        </w:rPr>
        <w:t>法定代表人或</w:t>
      </w:r>
      <w:r>
        <w:rPr>
          <w:rFonts w:hint="eastAsia" w:ascii="宋体" w:hAnsi="宋体" w:cs="宋体"/>
          <w:highlight w:val="none"/>
        </w:rPr>
        <w:t>其授权代表签名：</w:t>
      </w:r>
    </w:p>
    <w:p>
      <w:pPr>
        <w:adjustRightInd w:val="0"/>
        <w:snapToGrid w:val="0"/>
        <w:spacing w:line="360" w:lineRule="auto"/>
        <w:ind w:firstLine="472" w:firstLineChars="225"/>
        <w:rPr>
          <w:rFonts w:ascii="宋体" w:hAnsi="Times New Roman" w:cs="宋体"/>
          <w:highlight w:val="none"/>
        </w:rPr>
      </w:pPr>
    </w:p>
    <w:p>
      <w:pPr>
        <w:adjustRightInd w:val="0"/>
        <w:snapToGrid w:val="0"/>
        <w:spacing w:line="360" w:lineRule="auto"/>
        <w:ind w:firstLine="472" w:firstLineChars="225"/>
        <w:rPr>
          <w:rFonts w:ascii="宋体" w:hAnsi="Times New Roman" w:cs="宋体"/>
          <w:highlight w:val="none"/>
        </w:rPr>
      </w:pPr>
      <w:r>
        <w:rPr>
          <w:rFonts w:hint="eastAsia" w:ascii="宋体" w:hAnsi="宋体" w:cs="宋体"/>
          <w:color w:val="000000"/>
          <w:highlight w:val="none"/>
        </w:rPr>
        <w:t>日期：</w:t>
      </w:r>
    </w:p>
    <w:p>
      <w:pPr>
        <w:spacing w:line="360" w:lineRule="auto"/>
        <w:ind w:firstLine="525" w:firstLineChars="250"/>
        <w:rPr>
          <w:rFonts w:ascii="宋体" w:hAnsi="Times New Roman" w:cs="宋体"/>
          <w:color w:val="000000"/>
          <w:highlight w:val="none"/>
          <w:lang w:val="zh-CN"/>
        </w:rPr>
      </w:pPr>
    </w:p>
    <w:p>
      <w:pPr>
        <w:pStyle w:val="2"/>
        <w:ind w:firstLine="210"/>
        <w:rPr>
          <w:highlight w:val="none"/>
          <w:lang w:val="zh-CN"/>
        </w:rPr>
      </w:pPr>
    </w:p>
    <w:p>
      <w:pPr>
        <w:pStyle w:val="2"/>
        <w:ind w:firstLine="210"/>
        <w:rPr>
          <w:highlight w:val="none"/>
          <w:lang w:val="zh-CN"/>
        </w:rPr>
      </w:pPr>
    </w:p>
    <w:p>
      <w:pPr>
        <w:spacing w:line="360" w:lineRule="auto"/>
        <w:ind w:firstLine="527" w:firstLineChars="250"/>
        <w:rPr>
          <w:rFonts w:ascii="宋体" w:hAnsi="Times New Roman" w:cs="宋体"/>
          <w:b/>
          <w:bCs/>
          <w:color w:val="000000"/>
          <w:highlight w:val="none"/>
          <w:lang w:val="zh-CN"/>
        </w:rPr>
      </w:pPr>
      <w:r>
        <w:rPr>
          <w:rFonts w:hint="eastAsia" w:ascii="宋体" w:hAnsi="Times New Roman" w:cs="宋体"/>
          <w:b/>
          <w:bCs/>
          <w:color w:val="000000"/>
          <w:highlight w:val="none"/>
          <w:lang w:val="zh-CN"/>
        </w:rPr>
        <w:t>附件：</w:t>
      </w:r>
    </w:p>
    <w:p>
      <w:pPr>
        <w:spacing w:line="360" w:lineRule="auto"/>
        <w:ind w:left="425" w:hanging="5"/>
        <w:rPr>
          <w:rFonts w:ascii="宋体" w:hAnsi="宋体" w:cs="宋体"/>
          <w:highlight w:val="none"/>
        </w:rPr>
      </w:pPr>
      <w:r>
        <w:rPr>
          <w:rFonts w:hint="eastAsia" w:ascii="宋体" w:hAnsi="宋体" w:cs="宋体"/>
          <w:highlight w:val="none"/>
        </w:rPr>
        <w:t>(1)</w:t>
      </w:r>
      <w:r>
        <w:rPr>
          <w:rFonts w:hint="eastAsia" w:ascii="宋体" w:hAnsi="宋体" w:cs="宋体"/>
          <w:highlight w:val="none"/>
        </w:rPr>
        <w:tab/>
      </w:r>
      <w:r>
        <w:rPr>
          <w:rFonts w:hint="eastAsia" w:ascii="宋体" w:hAnsi="宋体" w:cs="宋体"/>
          <w:highlight w:val="none"/>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highlight w:val="none"/>
        </w:rPr>
      </w:pPr>
      <w:r>
        <w:rPr>
          <w:rFonts w:hint="eastAsia" w:ascii="宋体" w:hAnsi="宋体" w:cs="宋体"/>
          <w:highlight w:val="none"/>
        </w:rPr>
        <w:t>(2)</w:t>
      </w:r>
      <w:r>
        <w:rPr>
          <w:rFonts w:hint="eastAsia" w:ascii="宋体" w:hAnsi="宋体" w:cs="宋体"/>
          <w:highlight w:val="none"/>
        </w:rPr>
        <w:tab/>
      </w:r>
      <w:r>
        <w:rPr>
          <w:rFonts w:hint="eastAsia" w:ascii="宋体" w:hAnsi="宋体" w:cs="宋体"/>
          <w:highlight w:val="none"/>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highlight w:val="none"/>
        </w:rPr>
      </w:pPr>
      <w:r>
        <w:rPr>
          <w:rFonts w:hint="eastAsia" w:ascii="宋体" w:hAnsi="宋体" w:cs="宋体"/>
          <w:highlight w:val="none"/>
        </w:rPr>
        <w:t>(3)</w:t>
      </w:r>
      <w:r>
        <w:rPr>
          <w:rFonts w:hint="eastAsia" w:ascii="宋体" w:hAnsi="宋体" w:cs="宋体"/>
          <w:highlight w:val="none"/>
        </w:rPr>
        <w:tab/>
      </w:r>
      <w:r>
        <w:rPr>
          <w:rFonts w:hint="eastAsia" w:ascii="宋体" w:hAnsi="宋体" w:cs="宋体"/>
          <w:highlight w:val="none"/>
        </w:rPr>
        <w:t>提供投标截止日前在“信用中国”网站（www.creditchina.gov.cn）查询结果截图复印件加盖公章；</w:t>
      </w:r>
    </w:p>
    <w:p>
      <w:pPr>
        <w:spacing w:line="360" w:lineRule="auto"/>
        <w:ind w:left="425" w:hanging="5"/>
        <w:rPr>
          <w:rFonts w:ascii="宋体" w:hAnsi="宋体" w:cs="宋体"/>
          <w:highlight w:val="none"/>
        </w:rPr>
      </w:pPr>
      <w:r>
        <w:rPr>
          <w:rFonts w:hint="eastAsia" w:ascii="宋体" w:hAnsi="宋体" w:cs="宋体"/>
          <w:highlight w:val="none"/>
        </w:rPr>
        <w:t>(4)</w:t>
      </w:r>
      <w:r>
        <w:rPr>
          <w:rFonts w:hint="eastAsia" w:ascii="宋体" w:hAnsi="宋体" w:cs="宋体"/>
          <w:highlight w:val="none"/>
        </w:rPr>
        <w:tab/>
      </w:r>
      <w:r>
        <w:rPr>
          <w:rFonts w:hint="eastAsia" w:ascii="宋体" w:hAnsi="宋体" w:cs="宋体"/>
          <w:highlight w:val="none"/>
        </w:rPr>
        <w:t>提供投标截止日前在中国政府采购网(www.ccgp.gov.cn) 查询结果截图复印件加盖公章；</w:t>
      </w:r>
    </w:p>
    <w:p>
      <w:pPr>
        <w:spacing w:line="360" w:lineRule="auto"/>
        <w:ind w:left="425" w:hanging="5"/>
        <w:rPr>
          <w:rFonts w:ascii="宋体" w:hAnsi="宋体" w:cs="宋体"/>
          <w:highlight w:val="none"/>
        </w:rPr>
      </w:pPr>
      <w:r>
        <w:rPr>
          <w:rFonts w:hint="eastAsia" w:ascii="宋体" w:hAnsi="宋体" w:cs="宋体"/>
          <w:highlight w:val="none"/>
        </w:rPr>
        <w:t>(5)</w:t>
      </w:r>
      <w:r>
        <w:rPr>
          <w:rFonts w:hint="eastAsia" w:ascii="宋体" w:hAnsi="宋体" w:cs="宋体"/>
          <w:highlight w:val="none"/>
        </w:rPr>
        <w:tab/>
      </w:r>
      <w:r>
        <w:rPr>
          <w:rFonts w:hint="eastAsia" w:ascii="宋体" w:hAnsi="宋体" w:cs="宋体"/>
          <w:highlight w:val="none"/>
        </w:rPr>
        <w:t>资格条件要求的其他文件（如有），提供相应复印件加盖公章；</w:t>
      </w: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numPr>
          <w:ilvl w:val="0"/>
          <w:numId w:val="4"/>
        </w:numPr>
        <w:spacing w:line="400" w:lineRule="exact"/>
        <w:rPr>
          <w:rFonts w:ascii="黑体" w:hAnsi="Times New Roman" w:eastAsia="黑体" w:cs="黑体"/>
          <w:sz w:val="28"/>
          <w:szCs w:val="28"/>
          <w:highlight w:val="none"/>
        </w:rPr>
      </w:pPr>
    </w:p>
    <w:p>
      <w:pPr>
        <w:jc w:val="center"/>
        <w:outlineLvl w:val="1"/>
        <w:rPr>
          <w:rFonts w:ascii="黑体" w:hAnsi="宋体" w:eastAsia="黑体" w:cs="黑体"/>
          <w:kern w:val="0"/>
          <w:sz w:val="32"/>
          <w:szCs w:val="32"/>
          <w:highlight w:val="none"/>
        </w:rPr>
      </w:pPr>
      <w:r>
        <w:rPr>
          <w:rFonts w:hint="eastAsia" w:ascii="黑体" w:hAnsi="宋体" w:eastAsia="黑体" w:cs="黑体"/>
          <w:kern w:val="0"/>
          <w:sz w:val="32"/>
          <w:szCs w:val="32"/>
          <w:highlight w:val="none"/>
        </w:rPr>
        <w:t>无围标、串标行为承诺书</w:t>
      </w:r>
    </w:p>
    <w:p>
      <w:pPr>
        <w:spacing w:before="312" w:beforeLines="100" w:after="156" w:afterLines="50" w:line="360" w:lineRule="auto"/>
        <w:ind w:firstLine="420" w:firstLineChars="200"/>
        <w:rPr>
          <w:rFonts w:ascii="宋体" w:cs="Times New Roman"/>
          <w:highlight w:val="none"/>
        </w:rPr>
      </w:pPr>
      <w:r>
        <w:rPr>
          <w:rFonts w:hint="eastAsia" w:ascii="宋体" w:hAnsi="宋体" w:cs="宋体"/>
          <w:highlight w:val="none"/>
        </w:rPr>
        <w:t>本公司郑重承诺：本公司在参加本次</w:t>
      </w:r>
      <w:r>
        <w:rPr>
          <w:rFonts w:ascii="宋体" w:hAnsi="宋体" w:cs="宋体"/>
          <w:highlight w:val="none"/>
          <w:u w:val="single"/>
        </w:rPr>
        <w:t xml:space="preserve"> </w:t>
      </w:r>
      <w:r>
        <w:rPr>
          <w:rFonts w:hint="eastAsia" w:ascii="宋体" w:hAnsi="宋体" w:cs="宋体"/>
          <w:highlight w:val="none"/>
          <w:u w:val="single"/>
        </w:rPr>
        <w:t>项目名称：</w:t>
      </w:r>
      <w:r>
        <w:rPr>
          <w:rFonts w:ascii="宋体" w:hAnsi="宋体" w:cs="宋体"/>
          <w:highlight w:val="none"/>
          <w:u w:val="single"/>
        </w:rPr>
        <w:t xml:space="preserve">         </w:t>
      </w:r>
      <w:r>
        <w:rPr>
          <w:rFonts w:hint="eastAsia" w:ascii="宋体" w:hAnsi="宋体" w:cs="宋体"/>
          <w:highlight w:val="none"/>
        </w:rPr>
        <w:t>【项目编号：</w:t>
      </w:r>
      <w:r>
        <w:rPr>
          <w:rFonts w:ascii="宋体" w:hAnsi="宋体" w:cs="宋体"/>
          <w:highlight w:val="none"/>
          <w:u w:val="single"/>
        </w:rPr>
        <w:t xml:space="preserve">            </w:t>
      </w:r>
      <w:r>
        <w:rPr>
          <w:rFonts w:hint="eastAsia" w:ascii="宋体" w:hAnsi="宋体" w:cs="宋体"/>
          <w:highlight w:val="none"/>
        </w:rPr>
        <w:t>】活动中，无以下围标、串标行为。</w:t>
      </w:r>
    </w:p>
    <w:p>
      <w:pPr>
        <w:spacing w:line="360" w:lineRule="auto"/>
        <w:ind w:left="720" w:hanging="720"/>
        <w:rPr>
          <w:rFonts w:ascii="宋体" w:cs="Times New Roman"/>
          <w:highlight w:val="none"/>
        </w:rPr>
      </w:pPr>
      <w:r>
        <w:rPr>
          <w:rFonts w:ascii="宋体" w:hAnsi="宋体" w:cs="宋体"/>
          <w:highlight w:val="none"/>
        </w:rPr>
        <w:t xml:space="preserve">    1</w:t>
      </w:r>
      <w:r>
        <w:rPr>
          <w:rFonts w:hint="eastAsia" w:ascii="宋体" w:hAnsi="宋体" w:cs="宋体"/>
          <w:highlight w:val="none"/>
        </w:rPr>
        <w:t>）不同供应商的响应文件由同一单位或者个人编制；</w:t>
      </w:r>
    </w:p>
    <w:p>
      <w:pPr>
        <w:spacing w:line="360" w:lineRule="auto"/>
        <w:ind w:left="720" w:hanging="720"/>
        <w:rPr>
          <w:rFonts w:ascii="宋体" w:cs="Times New Roman"/>
          <w:highlight w:val="none"/>
        </w:rPr>
      </w:pPr>
      <w:r>
        <w:rPr>
          <w:rFonts w:ascii="宋体" w:hAnsi="宋体" w:cs="宋体"/>
          <w:highlight w:val="none"/>
        </w:rPr>
        <w:t xml:space="preserve">    2</w:t>
      </w:r>
      <w:r>
        <w:rPr>
          <w:rFonts w:hint="eastAsia" w:ascii="宋体" w:hAnsi="宋体" w:cs="宋体"/>
          <w:highlight w:val="none"/>
        </w:rPr>
        <w:t>）不同供应商委托同一单位或者个人办理投标报价事宜；</w:t>
      </w:r>
    </w:p>
    <w:p>
      <w:pPr>
        <w:spacing w:line="360" w:lineRule="auto"/>
        <w:ind w:left="720" w:hanging="720"/>
        <w:rPr>
          <w:rFonts w:ascii="宋体" w:cs="Times New Roman"/>
          <w:highlight w:val="none"/>
        </w:rPr>
      </w:pPr>
      <w:r>
        <w:rPr>
          <w:rFonts w:ascii="宋体" w:hAnsi="宋体" w:cs="宋体"/>
          <w:highlight w:val="none"/>
        </w:rPr>
        <w:t xml:space="preserve">    3</w:t>
      </w:r>
      <w:r>
        <w:rPr>
          <w:rFonts w:hint="eastAsia" w:ascii="宋体" w:hAnsi="宋体" w:cs="宋体"/>
          <w:highlight w:val="none"/>
        </w:rPr>
        <w:t>）不同供应商的响应文件载明的项目管理成员或者联系人员为同一人；</w:t>
      </w:r>
    </w:p>
    <w:p>
      <w:pPr>
        <w:spacing w:line="360" w:lineRule="auto"/>
        <w:ind w:left="720" w:hanging="720"/>
        <w:rPr>
          <w:rFonts w:ascii="宋体" w:cs="Times New Roman"/>
          <w:highlight w:val="none"/>
        </w:rPr>
      </w:pPr>
      <w:r>
        <w:rPr>
          <w:rFonts w:ascii="宋体" w:hAnsi="宋体" w:cs="宋体"/>
          <w:highlight w:val="none"/>
        </w:rPr>
        <w:t xml:space="preserve">    4</w:t>
      </w:r>
      <w:r>
        <w:rPr>
          <w:rFonts w:hint="eastAsia" w:ascii="宋体" w:hAnsi="宋体" w:cs="宋体"/>
          <w:highlight w:val="none"/>
        </w:rPr>
        <w:t>）不同供应商的响应文件异常一致或者报价呈规律性差异；</w:t>
      </w:r>
    </w:p>
    <w:p>
      <w:pPr>
        <w:spacing w:line="360" w:lineRule="auto"/>
        <w:ind w:left="720" w:hanging="720"/>
        <w:rPr>
          <w:rFonts w:ascii="宋体" w:cs="Times New Roman"/>
          <w:highlight w:val="none"/>
        </w:rPr>
      </w:pPr>
      <w:r>
        <w:rPr>
          <w:rFonts w:ascii="宋体" w:hAnsi="宋体" w:cs="宋体"/>
          <w:highlight w:val="none"/>
        </w:rPr>
        <w:t xml:space="preserve">    5</w:t>
      </w:r>
      <w:r>
        <w:rPr>
          <w:rFonts w:hint="eastAsia" w:ascii="宋体" w:hAnsi="宋体" w:cs="宋体"/>
          <w:highlight w:val="none"/>
        </w:rPr>
        <w:t>）不同供应商的响应文件相互混装；</w:t>
      </w:r>
    </w:p>
    <w:p>
      <w:pPr>
        <w:spacing w:line="360" w:lineRule="auto"/>
        <w:ind w:left="720" w:hanging="720"/>
        <w:rPr>
          <w:rFonts w:ascii="宋体" w:cs="Times New Roman"/>
          <w:highlight w:val="none"/>
        </w:rPr>
      </w:pPr>
      <w:r>
        <w:rPr>
          <w:rFonts w:ascii="宋体" w:hAnsi="宋体" w:cs="宋体"/>
          <w:highlight w:val="none"/>
        </w:rPr>
        <w:t xml:space="preserve">    6</w:t>
      </w:r>
      <w:r>
        <w:rPr>
          <w:rFonts w:hint="eastAsia" w:ascii="宋体" w:hAnsi="宋体" w:cs="宋体"/>
          <w:highlight w:val="none"/>
        </w:rPr>
        <w:t>）不同供应商的投标保证金从同一单位或者个人的账户转出。</w:t>
      </w:r>
    </w:p>
    <w:p>
      <w:pPr>
        <w:spacing w:line="360" w:lineRule="auto"/>
        <w:ind w:left="720" w:hanging="720"/>
        <w:rPr>
          <w:rFonts w:ascii="宋体" w:cs="Times New Roman"/>
          <w:highlight w:val="none"/>
        </w:rPr>
      </w:pPr>
      <w:r>
        <w:rPr>
          <w:rFonts w:ascii="宋体" w:hAnsi="宋体" w:cs="宋体"/>
          <w:highlight w:val="none"/>
        </w:rPr>
        <w:t xml:space="preserve">    7</w:t>
      </w:r>
      <w:r>
        <w:rPr>
          <w:rFonts w:hint="eastAsia" w:ascii="宋体" w:hAnsi="宋体" w:cs="宋体"/>
          <w:highlight w:val="none"/>
        </w:rPr>
        <w:t>）不同供应商的董事、监事、高管、单位负责人为同一人或者存在控股、管理关系的不同单位参加同一包组采购项目报价；</w:t>
      </w:r>
    </w:p>
    <w:p>
      <w:pPr>
        <w:spacing w:line="360" w:lineRule="auto"/>
        <w:ind w:left="720" w:hanging="720"/>
        <w:rPr>
          <w:rFonts w:ascii="宋体" w:cs="Times New Roman"/>
          <w:highlight w:val="none"/>
        </w:rPr>
      </w:pPr>
      <w:r>
        <w:rPr>
          <w:rFonts w:ascii="宋体" w:hAnsi="宋体" w:cs="宋体"/>
          <w:highlight w:val="none"/>
        </w:rPr>
        <w:t xml:space="preserve">    8</w:t>
      </w:r>
      <w:r>
        <w:rPr>
          <w:rFonts w:hint="eastAsia" w:ascii="宋体" w:hAnsi="宋体" w:cs="宋体"/>
          <w:highlight w:val="none"/>
        </w:rPr>
        <w:t>）法律法规界定的其他围标串标行为。</w:t>
      </w:r>
    </w:p>
    <w:p>
      <w:pPr>
        <w:spacing w:line="360" w:lineRule="auto"/>
        <w:ind w:left="720" w:hanging="720"/>
        <w:rPr>
          <w:rFonts w:ascii="宋体" w:cs="Times New Roman"/>
          <w:highlight w:val="none"/>
        </w:rPr>
      </w:pPr>
    </w:p>
    <w:p>
      <w:pPr>
        <w:spacing w:line="360" w:lineRule="auto"/>
        <w:ind w:firstLine="420" w:firstLineChars="200"/>
        <w:rPr>
          <w:rFonts w:ascii="宋体" w:cs="Times New Roman"/>
          <w:highlight w:val="none"/>
        </w:rPr>
      </w:pPr>
      <w:r>
        <w:rPr>
          <w:rFonts w:hint="eastAsia" w:ascii="宋体" w:hAnsi="宋体" w:cs="宋体"/>
          <w:highlight w:val="none"/>
        </w:rPr>
        <w:t>如有发现我公司存在围标、串标行为，我公司愿承担一切法律责任。</w:t>
      </w:r>
    </w:p>
    <w:p>
      <w:pPr>
        <w:spacing w:line="360" w:lineRule="auto"/>
        <w:ind w:firstLine="420" w:firstLineChars="200"/>
        <w:rPr>
          <w:rFonts w:ascii="宋体" w:cs="Times New Roman"/>
          <w:highlight w:val="none"/>
        </w:rPr>
      </w:pPr>
      <w:r>
        <w:rPr>
          <w:rFonts w:hint="eastAsia" w:ascii="宋体" w:hAnsi="宋体" w:cs="宋体"/>
          <w:highlight w:val="none"/>
        </w:rPr>
        <w:t>特此承诺。</w:t>
      </w:r>
    </w:p>
    <w:p>
      <w:pPr>
        <w:rPr>
          <w:rFonts w:cs="Times New Roman"/>
          <w:highlight w:val="none"/>
        </w:rPr>
      </w:pPr>
    </w:p>
    <w:p>
      <w:pPr>
        <w:spacing w:line="480" w:lineRule="auto"/>
        <w:rPr>
          <w:rFonts w:cs="Times New Roman"/>
          <w:highlight w:val="none"/>
        </w:rPr>
      </w:pPr>
    </w:p>
    <w:p>
      <w:pPr>
        <w:spacing w:line="480" w:lineRule="auto"/>
        <w:rPr>
          <w:highlight w:val="none"/>
        </w:rPr>
      </w:pPr>
      <w:r>
        <w:rPr>
          <w:rFonts w:hint="eastAsia" w:cs="宋体"/>
          <w:highlight w:val="none"/>
        </w:rPr>
        <w:t>供应商法定代表人（或法定代表人授权代表）签字或盖私章：</w:t>
      </w:r>
      <w:r>
        <w:rPr>
          <w:highlight w:val="none"/>
        </w:rPr>
        <w:t xml:space="preserve">                   </w:t>
      </w:r>
    </w:p>
    <w:p>
      <w:pPr>
        <w:spacing w:line="480" w:lineRule="auto"/>
        <w:rPr>
          <w:highlight w:val="none"/>
        </w:rPr>
      </w:pPr>
      <w:r>
        <w:rPr>
          <w:rFonts w:hint="eastAsia" w:cs="宋体"/>
          <w:highlight w:val="none"/>
        </w:rPr>
        <w:t>供应商名称（盖公章）：</w:t>
      </w:r>
      <w:r>
        <w:rPr>
          <w:highlight w:val="none"/>
        </w:rPr>
        <w:t xml:space="preserve">                        </w:t>
      </w:r>
    </w:p>
    <w:p>
      <w:pPr>
        <w:spacing w:line="480" w:lineRule="auto"/>
        <w:rPr>
          <w:rFonts w:cs="Times New Roman"/>
          <w:highlight w:val="none"/>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spacing w:line="360" w:lineRule="auto"/>
        <w:ind w:left="425" w:hanging="5"/>
        <w:rPr>
          <w:rFonts w:ascii="宋体" w:hAnsi="宋体" w:cs="宋体"/>
          <w:highlight w:val="none"/>
        </w:rPr>
      </w:pPr>
    </w:p>
    <w:p>
      <w:pPr>
        <w:numPr>
          <w:ilvl w:val="0"/>
          <w:numId w:val="4"/>
        </w:numPr>
        <w:spacing w:line="400" w:lineRule="exact"/>
        <w:rPr>
          <w:rFonts w:ascii="黑体" w:hAnsi="Times New Roman" w:eastAsia="黑体" w:cs="黑体"/>
          <w:sz w:val="28"/>
          <w:szCs w:val="28"/>
          <w:highlight w:val="none"/>
        </w:rPr>
      </w:pPr>
    </w:p>
    <w:p>
      <w:pPr>
        <w:pStyle w:val="4"/>
        <w:keepLines w:val="0"/>
        <w:tabs>
          <w:tab w:val="left" w:pos="851"/>
        </w:tabs>
        <w:spacing w:before="0" w:after="0" w:line="360" w:lineRule="auto"/>
        <w:ind w:left="284"/>
        <w:jc w:val="center"/>
        <w:rPr>
          <w:rFonts w:ascii="宋体" w:hAnsi="宋体" w:eastAsia="宋体"/>
          <w:highlight w:val="none"/>
        </w:rPr>
      </w:pPr>
      <w:r>
        <w:rPr>
          <w:rFonts w:hint="eastAsia" w:ascii="宋体" w:hAnsi="宋体" w:eastAsia="宋体" w:cs="宋体"/>
          <w:highlight w:val="none"/>
        </w:rPr>
        <w:t>法定代表人证明书、法定代表人授权书</w:t>
      </w:r>
    </w:p>
    <w:p>
      <w:pPr>
        <w:ind w:firstLine="632" w:firstLineChars="300"/>
        <w:rPr>
          <w:rFonts w:ascii="宋体" w:cs="Times New Roman"/>
          <w:b/>
          <w:bCs/>
          <w:highlight w:val="none"/>
        </w:rPr>
      </w:pPr>
    </w:p>
    <w:p>
      <w:pPr>
        <w:ind w:firstLine="632" w:firstLineChars="300"/>
        <w:rPr>
          <w:rFonts w:cs="Times New Roman"/>
          <w:highlight w:val="none"/>
        </w:rPr>
      </w:pPr>
      <w:r>
        <w:rPr>
          <w:rFonts w:hint="eastAsia" w:ascii="宋体" w:hAnsi="宋体" w:cs="宋体"/>
          <w:b/>
          <w:bCs/>
          <w:highlight w:val="none"/>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highlight w:val="none"/>
        </w:rPr>
      </w:pPr>
    </w:p>
    <w:p>
      <w:pPr>
        <w:widowControl/>
        <w:jc w:val="center"/>
        <w:rPr>
          <w:rFonts w:cs="Times New Roman"/>
          <w:highlight w:val="none"/>
        </w:rPr>
      </w:pPr>
      <w:bookmarkStart w:id="91" w:name="_Toc20491"/>
      <w:r>
        <w:rPr>
          <w:rFonts w:hint="eastAsia" w:ascii="黑体" w:hAnsi="宋体" w:eastAsia="黑体" w:cs="黑体"/>
          <w:color w:val="000000"/>
          <w:kern w:val="0"/>
          <w:sz w:val="31"/>
          <w:szCs w:val="31"/>
          <w:highlight w:val="none"/>
        </w:rPr>
        <w:t>法定代表人证明书</w:t>
      </w:r>
    </w:p>
    <w:p>
      <w:pPr>
        <w:widowControl/>
        <w:spacing w:line="360" w:lineRule="auto"/>
        <w:ind w:firstLine="1050" w:firstLineChars="500"/>
        <w:jc w:val="left"/>
        <w:rPr>
          <w:rFonts w:cs="Times New Roman"/>
          <w:highlight w:val="none"/>
        </w:rPr>
      </w:pPr>
      <w:r>
        <w:rPr>
          <w:rFonts w:ascii="宋体" w:hAnsi="宋体" w:cs="宋体"/>
          <w:color w:val="000000"/>
          <w:kern w:val="0"/>
          <w:highlight w:val="none"/>
        </w:rPr>
        <w:t>______________</w:t>
      </w:r>
      <w:r>
        <w:rPr>
          <w:rFonts w:hint="eastAsia" w:ascii="宋体" w:hAnsi="宋体" w:cs="宋体"/>
          <w:color w:val="000000"/>
          <w:kern w:val="0"/>
          <w:highlight w:val="none"/>
        </w:rPr>
        <w:t>同志，现任我单位</w:t>
      </w:r>
      <w:r>
        <w:rPr>
          <w:rFonts w:ascii="宋体" w:hAnsi="宋体" w:cs="宋体"/>
          <w:color w:val="000000"/>
          <w:kern w:val="0"/>
          <w:highlight w:val="none"/>
          <w:u w:val="single"/>
        </w:rPr>
        <w:t xml:space="preserve">        </w:t>
      </w:r>
      <w:r>
        <w:rPr>
          <w:rFonts w:hint="eastAsia" w:ascii="宋体" w:hAnsi="宋体" w:cs="宋体"/>
          <w:color w:val="000000"/>
          <w:kern w:val="0"/>
          <w:highlight w:val="none"/>
        </w:rPr>
        <w:t>职务，为法定代表人，特此证明。</w:t>
      </w:r>
      <w:r>
        <w:rPr>
          <w:rFonts w:ascii="宋体" w:hAnsi="宋体" w:cs="宋体"/>
          <w:color w:val="000000"/>
          <w:kern w:val="0"/>
          <w:highlight w:val="none"/>
        </w:rPr>
        <w:t xml:space="preserve"> </w:t>
      </w:r>
    </w:p>
    <w:p>
      <w:pPr>
        <w:widowControl/>
        <w:spacing w:line="360" w:lineRule="auto"/>
        <w:ind w:firstLine="630" w:firstLineChars="300"/>
        <w:jc w:val="left"/>
        <w:rPr>
          <w:rFonts w:cs="Times New Roman"/>
          <w:highlight w:val="none"/>
        </w:rPr>
      </w:pPr>
      <w:r>
        <w:rPr>
          <w:rFonts w:hint="eastAsia" w:ascii="宋体" w:hAnsi="宋体" w:cs="宋体"/>
          <w:color w:val="000000"/>
          <w:kern w:val="0"/>
          <w:highlight w:val="none"/>
        </w:rPr>
        <w:t>本证明书自签发之日起生效，有效期与本公司响应文件成交注的投标有效期相同。</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附：</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营业执照（注册号）：</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经济性质：</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主营（产）：</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highlight w:val="none"/>
              </w:rPr>
            </w:pPr>
          </w:p>
          <w:p>
            <w:pPr>
              <w:spacing w:line="360" w:lineRule="auto"/>
              <w:ind w:left="-359" w:leftChars="-171"/>
              <w:jc w:val="center"/>
              <w:rPr>
                <w:rFonts w:ascii="宋体" w:cs="Times New Roman"/>
                <w:highlight w:val="none"/>
              </w:rPr>
            </w:pPr>
            <w:r>
              <w:rPr>
                <w:rFonts w:hint="eastAsia" w:ascii="宋体" w:hAnsi="宋体" w:cs="宋体"/>
                <w:highlight w:val="none"/>
              </w:rPr>
              <w:t>法定代表人</w:t>
            </w:r>
          </w:p>
          <w:p>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pPr>
        <w:rPr>
          <w:vanish/>
          <w:highlight w:val="none"/>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highlight w:val="none"/>
              </w:rPr>
            </w:pPr>
          </w:p>
          <w:p>
            <w:pPr>
              <w:spacing w:line="360" w:lineRule="auto"/>
              <w:ind w:left="-359" w:leftChars="-171"/>
              <w:jc w:val="center"/>
              <w:rPr>
                <w:rFonts w:ascii="宋体" w:cs="Times New Roman"/>
                <w:highlight w:val="none"/>
              </w:rPr>
            </w:pPr>
            <w:r>
              <w:rPr>
                <w:rFonts w:hint="eastAsia" w:ascii="宋体" w:hAnsi="宋体" w:cs="宋体"/>
                <w:highlight w:val="none"/>
              </w:rPr>
              <w:t>法定代表人</w:t>
            </w:r>
          </w:p>
          <w:p>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pPr>
        <w:pStyle w:val="9"/>
        <w:spacing w:line="600" w:lineRule="exact"/>
        <w:ind w:firstLine="422"/>
        <w:rPr>
          <w:rFonts w:ascii="宋体" w:cs="Times New Roman"/>
          <w:b/>
          <w:bCs/>
          <w:highlight w:val="none"/>
        </w:rPr>
      </w:pPr>
    </w:p>
    <w:p>
      <w:pPr>
        <w:pStyle w:val="15"/>
        <w:rPr>
          <w:rFonts w:ascii="宋体"/>
          <w:sz w:val="32"/>
          <w:szCs w:val="32"/>
          <w:highlight w:val="none"/>
        </w:rPr>
      </w:pPr>
    </w:p>
    <w:p>
      <w:pPr>
        <w:rPr>
          <w:highlight w:val="none"/>
        </w:rPr>
      </w:pPr>
    </w:p>
    <w:p>
      <w:pPr>
        <w:pStyle w:val="15"/>
        <w:rPr>
          <w:rFonts w:ascii="宋体"/>
          <w:sz w:val="32"/>
          <w:szCs w:val="32"/>
          <w:highlight w:val="none"/>
        </w:rPr>
      </w:pP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供应商名称（单位盖公章）：</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地址：</w:t>
      </w:r>
      <w:r>
        <w:rPr>
          <w:rFonts w:ascii="宋体" w:hAnsi="宋体" w:cs="宋体"/>
          <w:color w:val="000000"/>
          <w:kern w:val="0"/>
          <w:highlight w:val="none"/>
        </w:rPr>
        <w:t xml:space="preserve"> </w:t>
      </w:r>
    </w:p>
    <w:p>
      <w:pPr>
        <w:widowControl/>
        <w:spacing w:line="360" w:lineRule="auto"/>
        <w:ind w:firstLine="636" w:firstLineChars="303"/>
        <w:jc w:val="left"/>
        <w:rPr>
          <w:rFonts w:cs="Times New Roman"/>
          <w:highlight w:val="none"/>
        </w:rPr>
      </w:pPr>
      <w:r>
        <w:rPr>
          <w:rFonts w:hint="eastAsia" w:ascii="宋体" w:hAnsi="宋体" w:cs="宋体"/>
          <w:color w:val="000000"/>
          <w:kern w:val="0"/>
          <w:highlight w:val="none"/>
        </w:rPr>
        <w:t>签发日期：</w:t>
      </w:r>
      <w:r>
        <w:rPr>
          <w:rFonts w:ascii="宋体" w:hAnsi="宋体" w:cs="宋体"/>
          <w:color w:val="000000"/>
          <w:kern w:val="0"/>
          <w:highlight w:val="none"/>
        </w:rPr>
        <w:t xml:space="preserve"> </w:t>
      </w:r>
    </w:p>
    <w:p>
      <w:pPr>
        <w:rPr>
          <w:highlight w:val="none"/>
          <w:lang w:val="zh-CN"/>
        </w:rPr>
      </w:pPr>
    </w:p>
    <w:p>
      <w:pPr>
        <w:rPr>
          <w:highlight w:val="none"/>
          <w:lang w:val="zh-CN"/>
        </w:rPr>
      </w:pPr>
    </w:p>
    <w:p>
      <w:pPr>
        <w:rPr>
          <w:highlight w:val="none"/>
          <w:lang w:val="zh-CN"/>
        </w:rPr>
      </w:pPr>
    </w:p>
    <w:p>
      <w:pPr>
        <w:rPr>
          <w:rFonts w:cs="Times New Roman"/>
          <w:highlight w:val="none"/>
        </w:rPr>
      </w:pPr>
    </w:p>
    <w:p>
      <w:pPr>
        <w:pStyle w:val="3"/>
        <w:spacing w:line="360" w:lineRule="auto"/>
        <w:jc w:val="center"/>
        <w:rPr>
          <w:rFonts w:ascii="宋体"/>
          <w:highlight w:val="none"/>
        </w:rPr>
      </w:pPr>
      <w:bookmarkStart w:id="92" w:name="_Toc24361"/>
      <w:r>
        <w:rPr>
          <w:rFonts w:hint="eastAsia" w:ascii="宋体" w:hAnsi="宋体" w:cs="宋体"/>
          <w:sz w:val="32"/>
          <w:szCs w:val="32"/>
          <w:highlight w:val="none"/>
        </w:rPr>
        <w:t>法定代表人授权委托书</w:t>
      </w:r>
      <w:bookmarkEnd w:id="91"/>
      <w:bookmarkEnd w:id="92"/>
    </w:p>
    <w:p>
      <w:pPr>
        <w:spacing w:line="360" w:lineRule="auto"/>
        <w:rPr>
          <w:rFonts w:ascii="宋体" w:cs="Times New Roman"/>
          <w:highlight w:val="none"/>
        </w:rPr>
      </w:pPr>
      <w:r>
        <w:rPr>
          <w:rFonts w:hint="eastAsia" w:ascii="宋体" w:hAnsi="宋体" w:cs="宋体"/>
          <w:highlight w:val="none"/>
        </w:rPr>
        <w:t>致：广西南宁技师学院</w:t>
      </w:r>
    </w:p>
    <w:p>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本授权委托书声明：注册于</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（供应商地址）</w:t>
      </w:r>
      <w:r>
        <w:rPr>
          <w:rFonts w:ascii="宋体" w:hAnsi="宋体" w:cs="宋体"/>
          <w:color w:val="000000"/>
          <w:kern w:val="0"/>
          <w:highlight w:val="none"/>
          <w:u w:val="single"/>
        </w:rPr>
        <w:t xml:space="preserve"> </w:t>
      </w:r>
      <w:r>
        <w:rPr>
          <w:rFonts w:hint="eastAsia" w:ascii="宋体" w:hAnsi="宋体" w:cs="宋体"/>
          <w:color w:val="000000"/>
          <w:kern w:val="0"/>
          <w:highlight w:val="none"/>
        </w:rPr>
        <w:t>的</w:t>
      </w:r>
      <w:r>
        <w:rPr>
          <w:rFonts w:ascii="宋体" w:hAnsi="宋体" w:cs="宋体"/>
          <w:color w:val="000000"/>
          <w:kern w:val="0"/>
          <w:highlight w:val="none"/>
          <w:u w:val="single"/>
        </w:rPr>
        <w:t xml:space="preserve"> </w:t>
      </w:r>
      <w:r>
        <w:rPr>
          <w:rFonts w:hint="eastAsia" w:ascii="宋体" w:hAnsi="宋体" w:cs="宋体"/>
          <w:color w:val="000000"/>
          <w:kern w:val="0"/>
          <w:highlight w:val="none"/>
          <w:u w:val="single"/>
        </w:rPr>
        <w:t>（单位名称）</w:t>
      </w:r>
      <w:r>
        <w:rPr>
          <w:rFonts w:ascii="宋体" w:hAnsi="宋体" w:cs="宋体"/>
          <w:color w:val="000000"/>
          <w:kern w:val="0"/>
          <w:highlight w:val="none"/>
          <w:u w:val="single"/>
        </w:rPr>
        <w:t xml:space="preserve"> </w:t>
      </w:r>
      <w:r>
        <w:rPr>
          <w:rFonts w:hint="eastAsia" w:ascii="宋体" w:hAnsi="宋体" w:cs="宋体"/>
          <w:color w:val="000000"/>
          <w:kern w:val="0"/>
          <w:highlight w:val="none"/>
        </w:rPr>
        <w:t>在下面签名的</w:t>
      </w:r>
      <w:r>
        <w:rPr>
          <w:rFonts w:hint="eastAsia" w:ascii="宋体" w:hAnsi="宋体" w:cs="宋体"/>
          <w:color w:val="000000"/>
          <w:kern w:val="0"/>
          <w:highlight w:val="none"/>
          <w:u w:val="single"/>
        </w:rPr>
        <w:t>（法定代表人姓名、职务）</w:t>
      </w:r>
      <w:r>
        <w:rPr>
          <w:rFonts w:hint="eastAsia" w:ascii="宋体" w:hAnsi="宋体" w:cs="宋体"/>
          <w:color w:val="000000"/>
          <w:kern w:val="0"/>
          <w:highlight w:val="none"/>
        </w:rPr>
        <w:t>在此授权</w:t>
      </w:r>
      <w:r>
        <w:rPr>
          <w:rFonts w:hint="eastAsia" w:ascii="宋体" w:hAnsi="宋体" w:cs="宋体"/>
          <w:color w:val="000000"/>
          <w:kern w:val="0"/>
          <w:highlight w:val="none"/>
          <w:u w:val="single"/>
        </w:rPr>
        <w:t>（被授权人姓名、职务）</w:t>
      </w:r>
      <w:r>
        <w:rPr>
          <w:rFonts w:hint="eastAsia" w:ascii="宋体" w:hAnsi="宋体" w:cs="宋体"/>
          <w:color w:val="000000"/>
          <w:kern w:val="0"/>
          <w:highlight w:val="none"/>
        </w:rPr>
        <w:t>作为我公司的合法代理人，就</w:t>
      </w:r>
      <w:r>
        <w:rPr>
          <w:rFonts w:hint="eastAsia" w:ascii="宋体" w:hAnsi="宋体" w:cs="宋体"/>
          <w:color w:val="000000"/>
          <w:kern w:val="0"/>
          <w:highlight w:val="none"/>
          <w:u w:val="single"/>
        </w:rPr>
        <w:t>（项目名称、项目编号）</w:t>
      </w:r>
      <w:r>
        <w:rPr>
          <w:rFonts w:hint="eastAsia" w:ascii="宋体" w:hAnsi="宋体" w:cs="宋体"/>
          <w:color w:val="000000"/>
          <w:kern w:val="0"/>
          <w:highlight w:val="none"/>
        </w:rPr>
        <w:t>的招投标活动，采购合同的签订、执行、完成和售后服务，作为供应商代表以我方的名义处理一切与之有关的事务。</w:t>
      </w:r>
      <w:r>
        <w:rPr>
          <w:rFonts w:ascii="宋体" w:hAnsi="宋体" w:cs="宋体"/>
          <w:color w:val="000000"/>
          <w:kern w:val="0"/>
          <w:highlight w:val="none"/>
        </w:rPr>
        <w:t xml:space="preserve"> </w:t>
      </w:r>
    </w:p>
    <w:p>
      <w:pPr>
        <w:widowControl/>
        <w:spacing w:line="360" w:lineRule="auto"/>
        <w:ind w:firstLine="420" w:firstLineChars="200"/>
        <w:jc w:val="left"/>
        <w:rPr>
          <w:rFonts w:cs="Times New Roman"/>
          <w:highlight w:val="none"/>
        </w:rPr>
      </w:pPr>
      <w:r>
        <w:rPr>
          <w:rFonts w:hint="eastAsia" w:ascii="宋体" w:hAnsi="宋体" w:cs="宋体"/>
          <w:color w:val="000000"/>
          <w:kern w:val="0"/>
          <w:highlight w:val="none"/>
        </w:rPr>
        <w:t>被授权人（供应商授权代表）无转委托权限。</w:t>
      </w:r>
      <w:r>
        <w:rPr>
          <w:rFonts w:ascii="宋体" w:hAnsi="宋体" w:cs="宋体"/>
          <w:color w:val="000000"/>
          <w:kern w:val="0"/>
          <w:highlight w:val="none"/>
        </w:rPr>
        <w:t xml:space="preserve"> </w:t>
      </w:r>
    </w:p>
    <w:p>
      <w:pPr>
        <w:widowControl/>
        <w:spacing w:line="360" w:lineRule="auto"/>
        <w:ind w:firstLine="420" w:firstLineChars="200"/>
        <w:jc w:val="left"/>
        <w:rPr>
          <w:rFonts w:ascii="宋体" w:cs="Times New Roman"/>
          <w:color w:val="000000"/>
          <w:kern w:val="0"/>
          <w:highlight w:val="none"/>
        </w:rPr>
      </w:pPr>
      <w:r>
        <w:rPr>
          <w:rFonts w:hint="eastAsia" w:ascii="宋体" w:hAnsi="宋体" w:cs="宋体"/>
          <w:color w:val="000000"/>
          <w:kern w:val="0"/>
          <w:highlight w:val="none"/>
        </w:rPr>
        <w:t>本授权书自法定代表人签字之日起生效，特此声明。</w:t>
      </w:r>
      <w:r>
        <w:rPr>
          <w:rFonts w:ascii="宋体" w:hAnsi="宋体" w:cs="宋体"/>
          <w:color w:val="000000"/>
          <w:kern w:val="0"/>
          <w:highlight w:val="none"/>
        </w:rPr>
        <w:t xml:space="preserve"> </w:t>
      </w:r>
    </w:p>
    <w:p>
      <w:pPr>
        <w:pStyle w:val="2"/>
        <w:ind w:firstLine="210"/>
        <w:rPr>
          <w:highlight w:val="none"/>
        </w:rPr>
      </w:pPr>
    </w:p>
    <w:p>
      <w:pPr>
        <w:widowControl/>
        <w:spacing w:line="360" w:lineRule="auto"/>
        <w:jc w:val="left"/>
        <w:rPr>
          <w:rFonts w:cs="Times New Roman"/>
          <w:b/>
          <w:bCs/>
          <w:highlight w:val="none"/>
        </w:rPr>
      </w:pPr>
      <w:r>
        <w:rPr>
          <w:rFonts w:hint="eastAsia" w:ascii="宋体" w:hAnsi="宋体" w:cs="宋体"/>
          <w:b/>
          <w:bCs/>
          <w:color w:val="000000"/>
          <w:kern w:val="0"/>
          <w:highlight w:val="none"/>
        </w:rPr>
        <w:t>供应商名称（单位盖公章）：</w:t>
      </w:r>
      <w:r>
        <w:rPr>
          <w:rFonts w:ascii="宋体" w:hAnsi="宋体" w:cs="宋体"/>
          <w:b/>
          <w:bCs/>
          <w:color w:val="000000"/>
          <w:kern w:val="0"/>
          <w:highlight w:val="none"/>
        </w:rPr>
        <w:t xml:space="preserve"> </w:t>
      </w:r>
    </w:p>
    <w:p>
      <w:pPr>
        <w:widowControl/>
        <w:spacing w:line="360" w:lineRule="auto"/>
        <w:jc w:val="left"/>
        <w:rPr>
          <w:rFonts w:cs="Times New Roman"/>
          <w:highlight w:val="none"/>
        </w:rPr>
      </w:pPr>
      <w:r>
        <w:rPr>
          <w:rFonts w:hint="eastAsia" w:ascii="宋体" w:hAnsi="宋体" w:cs="宋体"/>
          <w:color w:val="000000"/>
          <w:kern w:val="0"/>
          <w:highlight w:val="none"/>
        </w:rPr>
        <w:t>地</w:t>
      </w:r>
      <w:r>
        <w:rPr>
          <w:rFonts w:ascii="宋体" w:hAnsi="宋体" w:cs="宋体"/>
          <w:color w:val="000000"/>
          <w:kern w:val="0"/>
          <w:highlight w:val="none"/>
        </w:rPr>
        <w:t xml:space="preserve"> </w:t>
      </w:r>
      <w:r>
        <w:rPr>
          <w:rFonts w:hint="eastAsia" w:ascii="宋体" w:hAnsi="宋体" w:cs="宋体"/>
          <w:color w:val="000000"/>
          <w:kern w:val="0"/>
          <w:highlight w:val="none"/>
        </w:rPr>
        <w:t>址：</w:t>
      </w:r>
      <w:r>
        <w:rPr>
          <w:rFonts w:ascii="宋体" w:hAnsi="宋体" w:cs="宋体"/>
          <w:color w:val="000000"/>
          <w:kern w:val="0"/>
          <w:highlight w:val="none"/>
        </w:rPr>
        <w:t xml:space="preserve"> </w:t>
      </w:r>
    </w:p>
    <w:p>
      <w:pPr>
        <w:widowControl/>
        <w:spacing w:line="360" w:lineRule="auto"/>
        <w:jc w:val="left"/>
        <w:rPr>
          <w:rFonts w:ascii="宋体" w:cs="Times New Roman"/>
          <w:color w:val="000000"/>
          <w:kern w:val="0"/>
          <w:highlight w:val="none"/>
        </w:rPr>
      </w:pPr>
    </w:p>
    <w:p>
      <w:pPr>
        <w:widowControl/>
        <w:spacing w:line="360" w:lineRule="auto"/>
        <w:jc w:val="left"/>
        <w:rPr>
          <w:rFonts w:ascii="宋体" w:cs="Times New Roman"/>
          <w:b/>
          <w:bCs/>
          <w:color w:val="000000"/>
          <w:kern w:val="0"/>
          <w:highlight w:val="none"/>
        </w:rPr>
      </w:pPr>
      <w:r>
        <w:rPr>
          <w:rFonts w:hint="eastAsia" w:ascii="宋体" w:hAnsi="宋体" w:cs="宋体"/>
          <w:b/>
          <w:bCs/>
          <w:color w:val="000000"/>
          <w:kern w:val="0"/>
          <w:highlight w:val="none"/>
        </w:rPr>
        <w:t>法定代表人（签字或盖章）：</w:t>
      </w:r>
      <w:r>
        <w:rPr>
          <w:rFonts w:ascii="宋体" w:hAnsi="宋体" w:cs="宋体"/>
          <w:b/>
          <w:bCs/>
          <w:color w:val="000000"/>
          <w:kern w:val="0"/>
          <w:highlight w:val="none"/>
        </w:rPr>
        <w:t xml:space="preserve"> </w:t>
      </w:r>
    </w:p>
    <w:p>
      <w:pPr>
        <w:widowControl/>
        <w:spacing w:line="360" w:lineRule="auto"/>
        <w:jc w:val="left"/>
        <w:rPr>
          <w:rFonts w:cs="Times New Roman"/>
          <w:highlight w:val="none"/>
        </w:rPr>
      </w:pPr>
      <w:r>
        <w:rPr>
          <w:rFonts w:hint="eastAsia" w:ascii="宋体" w:hAnsi="宋体" w:cs="宋体"/>
          <w:color w:val="000000"/>
          <w:kern w:val="0"/>
          <w:highlight w:val="none"/>
        </w:rPr>
        <w:t>签字日期：</w:t>
      </w:r>
      <w:r>
        <w:rPr>
          <w:rFonts w:ascii="宋体" w:hAnsi="宋体" w:cs="宋体"/>
          <w:color w:val="000000"/>
          <w:kern w:val="0"/>
          <w:highlight w:val="none"/>
        </w:rPr>
        <w:t xml:space="preserve">     </w:t>
      </w:r>
      <w:r>
        <w:rPr>
          <w:rFonts w:hint="eastAsia" w:ascii="宋体" w:hAnsi="宋体" w:cs="宋体"/>
          <w:color w:val="000000"/>
          <w:kern w:val="0"/>
          <w:highlight w:val="none"/>
        </w:rPr>
        <w:t>年</w:t>
      </w:r>
      <w:r>
        <w:rPr>
          <w:rFonts w:ascii="宋体" w:hAnsi="宋体" w:cs="宋体"/>
          <w:color w:val="000000"/>
          <w:kern w:val="0"/>
          <w:highlight w:val="none"/>
        </w:rPr>
        <w:t xml:space="preserve">    </w:t>
      </w:r>
      <w:r>
        <w:rPr>
          <w:rFonts w:hint="eastAsia" w:ascii="宋体" w:hAnsi="宋体" w:cs="宋体"/>
          <w:color w:val="000000"/>
          <w:kern w:val="0"/>
          <w:highlight w:val="none"/>
        </w:rPr>
        <w:t>月</w:t>
      </w:r>
      <w:r>
        <w:rPr>
          <w:rFonts w:ascii="宋体" w:hAnsi="宋体" w:cs="宋体"/>
          <w:color w:val="000000"/>
          <w:kern w:val="0"/>
          <w:highlight w:val="none"/>
        </w:rPr>
        <w:t xml:space="preserve">    </w:t>
      </w:r>
      <w:r>
        <w:rPr>
          <w:rFonts w:hint="eastAsia" w:ascii="宋体" w:hAnsi="宋体" w:cs="宋体"/>
          <w:color w:val="000000"/>
          <w:kern w:val="0"/>
          <w:highlight w:val="none"/>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highlight w:val="none"/>
              </w:rPr>
            </w:pPr>
          </w:p>
          <w:p>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pPr>
              <w:spacing w:line="360" w:lineRule="auto"/>
              <w:ind w:left="-359" w:leftChars="-171"/>
              <w:jc w:val="center"/>
              <w:rPr>
                <w:rFonts w:ascii="宋体" w:cs="Times New Roman"/>
                <w:highlight w:val="none"/>
              </w:rPr>
            </w:pPr>
            <w:r>
              <w:rPr>
                <w:rFonts w:hint="eastAsia" w:ascii="宋体" w:hAnsi="宋体" w:cs="宋体"/>
                <w:highlight w:val="none"/>
              </w:rPr>
              <w:t>（正面）</w:t>
            </w:r>
          </w:p>
        </w:tc>
      </w:tr>
    </w:tbl>
    <w:p>
      <w:pPr>
        <w:rPr>
          <w:vanish/>
          <w:highlight w:val="none"/>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highlight w:val="none"/>
              </w:rPr>
            </w:pPr>
          </w:p>
          <w:p>
            <w:pPr>
              <w:spacing w:line="360" w:lineRule="auto"/>
              <w:ind w:left="-359" w:leftChars="-171"/>
              <w:jc w:val="center"/>
              <w:rPr>
                <w:rFonts w:ascii="宋体" w:cs="Times New Roman"/>
                <w:highlight w:val="none"/>
              </w:rPr>
            </w:pPr>
            <w:r>
              <w:rPr>
                <w:rFonts w:hint="eastAsia" w:ascii="宋体" w:hAnsi="宋体" w:cs="宋体"/>
                <w:highlight w:val="none"/>
              </w:rPr>
              <w:t>被授权人（授权代表）</w:t>
            </w:r>
          </w:p>
          <w:p>
            <w:pPr>
              <w:spacing w:line="360" w:lineRule="auto"/>
              <w:ind w:left="-359" w:leftChars="-171"/>
              <w:jc w:val="center"/>
              <w:rPr>
                <w:rFonts w:ascii="宋体" w:cs="Times New Roman"/>
                <w:highlight w:val="none"/>
              </w:rPr>
            </w:pPr>
            <w:r>
              <w:rPr>
                <w:rFonts w:hint="eastAsia" w:ascii="宋体" w:hAnsi="宋体" w:cs="宋体"/>
                <w:highlight w:val="none"/>
              </w:rPr>
              <w:t>有效居民身份证复印件粘贴处</w:t>
            </w:r>
          </w:p>
          <w:p>
            <w:pPr>
              <w:spacing w:line="360" w:lineRule="auto"/>
              <w:ind w:left="-359" w:leftChars="-171"/>
              <w:jc w:val="center"/>
              <w:rPr>
                <w:rFonts w:ascii="宋体" w:cs="Times New Roman"/>
                <w:highlight w:val="none"/>
              </w:rPr>
            </w:pPr>
            <w:r>
              <w:rPr>
                <w:rFonts w:hint="eastAsia" w:ascii="宋体" w:hAnsi="宋体" w:cs="宋体"/>
                <w:highlight w:val="none"/>
              </w:rPr>
              <w:t>（反面）</w:t>
            </w:r>
          </w:p>
        </w:tc>
      </w:tr>
    </w:tbl>
    <w:p>
      <w:pPr>
        <w:spacing w:line="460" w:lineRule="exact"/>
        <w:rPr>
          <w:b/>
          <w:color w:val="000000"/>
          <w:highlight w:val="none"/>
        </w:rPr>
      </w:pPr>
    </w:p>
    <w:p>
      <w:pPr>
        <w:spacing w:line="460" w:lineRule="exact"/>
        <w:rPr>
          <w:b/>
          <w:color w:val="000000"/>
          <w:highlight w:val="none"/>
        </w:rPr>
      </w:pPr>
    </w:p>
    <w:p>
      <w:pPr>
        <w:spacing w:line="460" w:lineRule="exact"/>
        <w:rPr>
          <w:b/>
          <w:color w:val="000000"/>
          <w:highlight w:val="none"/>
        </w:rPr>
      </w:pPr>
    </w:p>
    <w:p>
      <w:pPr>
        <w:spacing w:line="460" w:lineRule="exact"/>
        <w:rPr>
          <w:b/>
          <w:color w:val="000000"/>
          <w:highlight w:val="none"/>
        </w:rPr>
      </w:pPr>
    </w:p>
    <w:p>
      <w:pPr>
        <w:rPr>
          <w:b/>
          <w:color w:val="000000"/>
          <w:highlight w:val="none"/>
        </w:rPr>
      </w:pPr>
    </w:p>
    <w:p>
      <w:pPr>
        <w:rPr>
          <w:b/>
          <w:color w:val="000000"/>
          <w:highlight w:val="none"/>
        </w:rPr>
      </w:pPr>
    </w:p>
    <w:p>
      <w:pPr>
        <w:rPr>
          <w:b/>
          <w:color w:val="000000"/>
          <w:highlight w:val="none"/>
        </w:rPr>
      </w:pPr>
    </w:p>
    <w:p>
      <w:pPr>
        <w:spacing w:line="400" w:lineRule="exact"/>
        <w:rPr>
          <w:rFonts w:ascii="宋体" w:hAnsi="Times New Roman" w:cs="宋体"/>
          <w:sz w:val="28"/>
          <w:szCs w:val="28"/>
          <w:highlight w:val="none"/>
        </w:rPr>
      </w:pPr>
    </w:p>
    <w:p>
      <w:pPr>
        <w:spacing w:line="360" w:lineRule="auto"/>
        <w:rPr>
          <w:b/>
          <w:highlight w:val="none"/>
        </w:rPr>
      </w:pPr>
    </w:p>
    <w:p>
      <w:pPr>
        <w:widowControl/>
        <w:jc w:val="left"/>
        <w:rPr>
          <w:rFonts w:cs="Times New Roman"/>
          <w:b/>
          <w:szCs w:val="24"/>
          <w:highlight w:val="none"/>
        </w:rPr>
      </w:pPr>
    </w:p>
    <w:p>
      <w:pPr>
        <w:widowControl/>
        <w:jc w:val="left"/>
        <w:rPr>
          <w:rFonts w:ascii="宋体" w:hAnsi="Times New Roman" w:cs="宋体"/>
          <w:color w:val="000000"/>
          <w:szCs w:val="24"/>
          <w:highlight w:val="none"/>
        </w:rPr>
      </w:pPr>
    </w:p>
    <w:p>
      <w:pPr>
        <w:tabs>
          <w:tab w:val="left" w:pos="284"/>
        </w:tabs>
        <w:spacing w:line="400" w:lineRule="exact"/>
        <w:ind w:left="283" w:leftChars="135" w:firstLine="980" w:firstLineChars="350"/>
        <w:rPr>
          <w:rFonts w:ascii="黑体" w:hAnsi="Times New Roman" w:eastAsia="黑体" w:cs="黑体"/>
          <w:sz w:val="28"/>
          <w:szCs w:val="28"/>
          <w:highlight w:val="none"/>
        </w:rPr>
      </w:pPr>
    </w:p>
    <w:p>
      <w:pPr>
        <w:numPr>
          <w:ilvl w:val="0"/>
          <w:numId w:val="0"/>
        </w:numPr>
        <w:spacing w:line="400" w:lineRule="exact"/>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格式5</w:t>
      </w:r>
    </w:p>
    <w:p>
      <w:pPr>
        <w:widowControl/>
        <w:jc w:val="center"/>
        <w:rPr>
          <w:b/>
          <w:sz w:val="24"/>
          <w:highlight w:val="none"/>
        </w:rPr>
      </w:pPr>
      <w:r>
        <w:rPr>
          <w:rFonts w:hint="eastAsia" w:ascii="Times New Roman" w:hAnsi="Times New Roman" w:cs="宋体"/>
          <w:b/>
          <w:sz w:val="24"/>
          <w:highlight w:val="none"/>
        </w:rPr>
        <w:t>“</w:t>
      </w:r>
      <w:r>
        <w:rPr>
          <w:rFonts w:hint="eastAsia" w:ascii="Times New Roman" w:hAnsi="Times New Roman" w:cs="宋体"/>
          <w:b/>
          <w:sz w:val="24"/>
          <w:highlight w:val="none"/>
          <w:lang w:eastAsia="zh-CN"/>
        </w:rPr>
        <w:t>▲</w:t>
      </w:r>
      <w:r>
        <w:rPr>
          <w:rFonts w:hint="eastAsia" w:ascii="Times New Roman" w:hAnsi="Times New Roman" w:cs="宋体"/>
          <w:b/>
          <w:sz w:val="24"/>
          <w:highlight w:val="none"/>
        </w:rPr>
        <w:t>”条款响应一览表</w:t>
      </w:r>
    </w:p>
    <w:p>
      <w:pPr>
        <w:spacing w:line="400" w:lineRule="exact"/>
        <w:ind w:left="945" w:leftChars="100" w:hanging="735" w:hangingChars="350"/>
        <w:rPr>
          <w:rFonts w:ascii="宋体" w:hAnsi="Times New Roman" w:cs="宋体"/>
          <w:highlight w:val="none"/>
        </w:rPr>
      </w:pPr>
      <w:r>
        <w:rPr>
          <w:rFonts w:hint="eastAsia" w:ascii="宋体" w:hAnsi="宋体" w:cs="宋体"/>
          <w:highlight w:val="none"/>
        </w:rPr>
        <w:t>说明：供应商必须对应询价文件</w:t>
      </w:r>
      <w:r>
        <w:rPr>
          <w:rFonts w:hint="eastAsia" w:ascii="Times New Roman" w:hAnsi="Times New Roman" w:cs="宋体"/>
          <w:highlight w:val="none"/>
        </w:rPr>
        <w:t>带“</w:t>
      </w:r>
      <w:r>
        <w:rPr>
          <w:rFonts w:hint="eastAsia" w:ascii="宋体" w:hAnsi="Times New Roman" w:cs="宋体"/>
          <w:highlight w:val="none"/>
          <w:lang w:eastAsia="zh-CN"/>
        </w:rPr>
        <w:t>▲</w:t>
      </w:r>
      <w:r>
        <w:rPr>
          <w:rFonts w:hint="eastAsia" w:ascii="Times New Roman" w:hAnsi="Times New Roman" w:cs="宋体"/>
          <w:highlight w:val="none"/>
        </w:rPr>
        <w:t>”的</w:t>
      </w:r>
      <w:r>
        <w:rPr>
          <w:rFonts w:hint="eastAsia" w:ascii="宋体" w:hAnsi="宋体" w:cs="宋体"/>
          <w:highlight w:val="none"/>
        </w:rPr>
        <w:t>实质性条款逐条应答并按要求填写下表。</w:t>
      </w:r>
    </w:p>
    <w:p>
      <w:pPr>
        <w:spacing w:line="400" w:lineRule="exact"/>
        <w:ind w:firstLine="210" w:firstLineChars="100"/>
        <w:rPr>
          <w:rFonts w:ascii="宋体" w:hAnsi="Times New Roman" w:cs="宋体"/>
          <w:highlight w:val="none"/>
          <w:u w:val="single"/>
        </w:rPr>
      </w:pPr>
      <w:r>
        <w:rPr>
          <w:rFonts w:hint="eastAsia" w:ascii="宋体" w:hAnsi="宋体" w:cs="宋体"/>
          <w:highlight w:val="none"/>
        </w:rPr>
        <w:t>项目名称：</w:t>
      </w:r>
      <w:r>
        <w:rPr>
          <w:rFonts w:ascii="宋体" w:hAnsi="Times New Roman" w:cs="宋体"/>
          <w:highlight w:val="none"/>
          <w:u w:val="single"/>
        </w:rPr>
        <w:t xml:space="preserve">                                                  </w:t>
      </w:r>
    </w:p>
    <w:p>
      <w:pPr>
        <w:spacing w:line="400" w:lineRule="exact"/>
        <w:ind w:firstLine="210" w:firstLineChars="100"/>
        <w:rPr>
          <w:rFonts w:ascii="宋体" w:hAnsi="Times New Roman" w:cs="宋体"/>
          <w:highlight w:val="none"/>
        </w:rPr>
      </w:pPr>
      <w:r>
        <w:rPr>
          <w:rFonts w:hint="eastAsia" w:ascii="宋体" w:hAnsi="宋体" w:cs="宋体"/>
          <w:highlight w:val="none"/>
        </w:rPr>
        <w:t>项目编号：</w:t>
      </w:r>
      <w:r>
        <w:rPr>
          <w:rFonts w:ascii="宋体" w:hAnsi="宋体" w:cs="宋体"/>
          <w:highlight w:val="none"/>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highlight w:val="none"/>
              </w:rPr>
            </w:pPr>
            <w:r>
              <w:rPr>
                <w:rFonts w:hint="eastAsia" w:ascii="宋体" w:hAnsi="宋体" w:cs="宋体"/>
                <w:sz w:val="18"/>
                <w:szCs w:val="18"/>
                <w:highlight w:val="none"/>
              </w:rPr>
              <w:t>序号</w:t>
            </w: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r>
              <w:rPr>
                <w:rFonts w:hint="eastAsia" w:ascii="宋体" w:hAnsi="宋体" w:cs="宋体"/>
                <w:sz w:val="18"/>
                <w:szCs w:val="18"/>
                <w:highlight w:val="none"/>
              </w:rPr>
              <w:t>偏离情况说明</w:t>
            </w:r>
          </w:p>
          <w:p>
            <w:pPr>
              <w:ind w:left="-78" w:leftChars="-37" w:right="-80" w:rightChars="-38"/>
              <w:rPr>
                <w:rFonts w:ascii="宋体" w:hAnsi="Times New Roman" w:cs="宋体"/>
                <w:sz w:val="18"/>
                <w:szCs w:val="18"/>
                <w:highlight w:val="none"/>
              </w:rPr>
            </w:pPr>
            <w:r>
              <w:rPr>
                <w:rFonts w:hint="eastAsia" w:ascii="宋体" w:hAnsi="宋体" w:cs="宋体"/>
                <w:sz w:val="18"/>
                <w:szCs w:val="18"/>
                <w:highlight w:val="none"/>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highlight w:val="none"/>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highlight w:val="none"/>
              </w:rPr>
            </w:pPr>
          </w:p>
        </w:tc>
      </w:tr>
    </w:tbl>
    <w:p>
      <w:pPr>
        <w:adjustRightInd w:val="0"/>
        <w:snapToGrid w:val="0"/>
        <w:spacing w:line="460" w:lineRule="exact"/>
        <w:ind w:left="59" w:leftChars="28"/>
        <w:rPr>
          <w:rFonts w:ascii="宋体" w:hAnsi="Times New Roman" w:cs="宋体"/>
          <w:highlight w:val="none"/>
        </w:rPr>
      </w:pPr>
      <w:r>
        <w:rPr>
          <w:rFonts w:hint="eastAsia" w:ascii="宋体" w:hAnsi="宋体" w:cs="宋体"/>
          <w:highlight w:val="none"/>
        </w:rPr>
        <w:t>备注：本表中“询价文件的要求描述”与采购需求书中的条款描述不一致的以采购需求书中的规定为准。</w:t>
      </w:r>
    </w:p>
    <w:p>
      <w:pPr>
        <w:spacing w:line="500" w:lineRule="exact"/>
        <w:ind w:firstLine="109" w:firstLineChars="50"/>
        <w:rPr>
          <w:spacing w:val="4"/>
          <w:highlight w:val="none"/>
        </w:rPr>
      </w:pPr>
    </w:p>
    <w:p>
      <w:pPr>
        <w:ind w:firstLine="420" w:firstLineChars="200"/>
        <w:rPr>
          <w:highlight w:val="none"/>
        </w:rPr>
      </w:pPr>
      <w:r>
        <w:rPr>
          <w:rFonts w:hint="eastAsia" w:ascii="Times New Roman" w:hAnsi="Times New Roman" w:cs="宋体"/>
          <w:highlight w:val="none"/>
        </w:rPr>
        <w:t>供应商名称（公章）：</w:t>
      </w:r>
    </w:p>
    <w:p>
      <w:pPr>
        <w:ind w:firstLine="420" w:firstLineChars="200"/>
        <w:rPr>
          <w:highlight w:val="none"/>
        </w:rPr>
      </w:pPr>
    </w:p>
    <w:p>
      <w:pPr>
        <w:ind w:firstLine="420" w:firstLineChars="200"/>
        <w:rPr>
          <w:highlight w:val="none"/>
        </w:rPr>
      </w:pPr>
      <w:r>
        <w:rPr>
          <w:rFonts w:hint="eastAsia" w:ascii="Times New Roman" w:hAnsi="Times New Roman" w:cs="宋体"/>
          <w:highlight w:val="none"/>
        </w:rPr>
        <w:t>法定代表人或其授权代表（签名）：</w:t>
      </w:r>
    </w:p>
    <w:p>
      <w:pPr>
        <w:ind w:firstLine="420" w:firstLineChars="200"/>
        <w:rPr>
          <w:highlight w:val="none"/>
        </w:rPr>
      </w:pPr>
    </w:p>
    <w:p>
      <w:pPr>
        <w:ind w:firstLine="420" w:firstLineChars="200"/>
        <w:rPr>
          <w:highlight w:val="none"/>
        </w:rPr>
      </w:pPr>
      <w:r>
        <w:rPr>
          <w:rFonts w:hint="eastAsia" w:ascii="Times New Roman" w:hAnsi="Times New Roman" w:cs="宋体"/>
          <w:highlight w:val="none"/>
        </w:rPr>
        <w:t xml:space="preserve">日期： </w:t>
      </w:r>
      <w:r>
        <w:rPr>
          <w:rFonts w:ascii="Times New Roman" w:hAnsi="Times New Roman" w:cs="宋体"/>
          <w:highlight w:val="none"/>
        </w:rPr>
        <w:t xml:space="preserve">      </w:t>
      </w:r>
      <w:r>
        <w:rPr>
          <w:rFonts w:hint="eastAsia" w:ascii="Times New Roman" w:hAnsi="Times New Roman" w:cs="宋体"/>
          <w:highlight w:val="none"/>
        </w:rPr>
        <w:t xml:space="preserve">年 </w:t>
      </w:r>
      <w:r>
        <w:rPr>
          <w:rFonts w:ascii="Times New Roman" w:hAnsi="Times New Roman" w:cs="宋体"/>
          <w:highlight w:val="none"/>
        </w:rPr>
        <w:t xml:space="preserve">  </w:t>
      </w:r>
      <w:r>
        <w:rPr>
          <w:rFonts w:hint="eastAsia" w:ascii="Times New Roman" w:hAnsi="Times New Roman" w:cs="宋体"/>
          <w:highlight w:val="none"/>
        </w:rPr>
        <w:t xml:space="preserve">月 </w:t>
      </w:r>
      <w:r>
        <w:rPr>
          <w:rFonts w:ascii="Times New Roman" w:hAnsi="Times New Roman" w:cs="宋体"/>
          <w:highlight w:val="none"/>
        </w:rPr>
        <w:t xml:space="preserve">  </w:t>
      </w:r>
      <w:r>
        <w:rPr>
          <w:rFonts w:hint="eastAsia" w:ascii="Times New Roman" w:hAnsi="Times New Roman" w:cs="宋体"/>
          <w:highlight w:val="none"/>
        </w:rPr>
        <w:t>日</w:t>
      </w:r>
    </w:p>
    <w:p>
      <w:pPr>
        <w:widowControl/>
        <w:jc w:val="left"/>
        <w:rPr>
          <w:rFonts w:ascii="黑体" w:hAnsi="Times New Roman" w:eastAsia="黑体" w:cs="黑体"/>
          <w:sz w:val="28"/>
          <w:szCs w:val="28"/>
          <w:highlight w:val="none"/>
        </w:rPr>
      </w:pPr>
    </w:p>
    <w:p>
      <w:pPr>
        <w:pStyle w:val="2"/>
        <w:ind w:left="0" w:leftChars="0" w:firstLine="0" w:firstLineChars="0"/>
        <w:rPr>
          <w:rFonts w:ascii="黑体" w:hAnsi="Times New Roman" w:eastAsia="黑体" w:cs="黑体"/>
          <w:sz w:val="28"/>
          <w:szCs w:val="28"/>
          <w:highlight w:val="none"/>
        </w:rPr>
      </w:pPr>
    </w:p>
    <w:p>
      <w:pPr>
        <w:pStyle w:val="2"/>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格式6</w:t>
      </w:r>
    </w:p>
    <w:p>
      <w:pPr>
        <w:pStyle w:val="3"/>
        <w:spacing w:line="360" w:lineRule="auto"/>
        <w:jc w:val="center"/>
        <w:rPr>
          <w:rFonts w:ascii="黑体" w:eastAsia="黑体" w:cs="黑体"/>
          <w:b w:val="0"/>
          <w:bCs w:val="0"/>
          <w:sz w:val="32"/>
          <w:szCs w:val="32"/>
          <w:highlight w:val="none"/>
        </w:rPr>
      </w:pPr>
      <w:bookmarkStart w:id="93" w:name="_Toc21165"/>
      <w:r>
        <w:rPr>
          <w:rFonts w:hint="eastAsia" w:ascii="宋体" w:hAnsi="宋体" w:cs="宋体"/>
          <w:sz w:val="32"/>
          <w:szCs w:val="32"/>
          <w:highlight w:val="none"/>
        </w:rPr>
        <w:t>报价表</w:t>
      </w:r>
      <w:bookmarkEnd w:id="93"/>
    </w:p>
    <w:p>
      <w:pPr>
        <w:pStyle w:val="4"/>
        <w:jc w:val="center"/>
        <w:rPr>
          <w:rFonts w:ascii="宋体" w:hAnsi="宋体" w:eastAsia="宋体" w:cs="宋体"/>
          <w:sz w:val="24"/>
          <w:szCs w:val="24"/>
          <w:highlight w:val="none"/>
        </w:rPr>
      </w:pPr>
      <w:r>
        <w:rPr>
          <w:rFonts w:hint="eastAsia" w:ascii="宋体" w:hAnsi="宋体" w:eastAsia="宋体" w:cs="宋体"/>
          <w:sz w:val="24"/>
          <w:szCs w:val="24"/>
          <w:highlight w:val="none"/>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highlight w:val="none"/>
              </w:rPr>
            </w:pPr>
            <w:bookmarkStart w:id="94" w:name="_Hlk38364649"/>
            <w:r>
              <w:rPr>
                <w:rFonts w:hint="eastAsia"/>
                <w:b/>
                <w:highlight w:val="none"/>
              </w:rPr>
              <w:t>项目名称</w:t>
            </w:r>
          </w:p>
        </w:tc>
        <w:tc>
          <w:tcPr>
            <w:tcW w:w="3402" w:type="dxa"/>
            <w:shd w:val="clear" w:color="auto" w:fill="D9D9D9"/>
            <w:vAlign w:val="center"/>
          </w:tcPr>
          <w:p>
            <w:pPr>
              <w:jc w:val="center"/>
              <w:rPr>
                <w:b/>
                <w:highlight w:val="none"/>
              </w:rPr>
            </w:pPr>
            <w:r>
              <w:rPr>
                <w:rFonts w:hint="eastAsia"/>
                <w:b/>
                <w:highlight w:val="none"/>
              </w:rPr>
              <w:t>投标总报价</w:t>
            </w:r>
          </w:p>
        </w:tc>
        <w:tc>
          <w:tcPr>
            <w:tcW w:w="1904" w:type="dxa"/>
            <w:shd w:val="clear" w:color="auto" w:fill="D9D9D9"/>
            <w:vAlign w:val="center"/>
          </w:tcPr>
          <w:p>
            <w:pPr>
              <w:jc w:val="center"/>
              <w:rPr>
                <w:b/>
                <w:highlight w:val="none"/>
              </w:rPr>
            </w:pPr>
            <w:r>
              <w:rPr>
                <w:rFonts w:hint="eastAsia"/>
                <w:b/>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highlight w:val="none"/>
              </w:rPr>
            </w:pPr>
            <w:r>
              <w:rPr>
                <w:rFonts w:hint="eastAsia" w:cs="宋体"/>
                <w:kern w:val="28"/>
                <w:highlight w:val="none"/>
              </w:rPr>
              <w:t>广西南宁技师学院202</w:t>
            </w:r>
            <w:r>
              <w:rPr>
                <w:rFonts w:hint="eastAsia" w:cs="宋体"/>
                <w:kern w:val="28"/>
                <w:highlight w:val="none"/>
                <w:lang w:val="en-US" w:eastAsia="zh-CN"/>
              </w:rPr>
              <w:t>5</w:t>
            </w:r>
            <w:r>
              <w:rPr>
                <w:rFonts w:hint="eastAsia" w:cs="宋体"/>
                <w:kern w:val="28"/>
                <w:highlight w:val="none"/>
              </w:rPr>
              <w:t>年新校区28台电梯维保服务</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小写：￥</w:t>
            </w:r>
            <w:r>
              <w:rPr>
                <w:rFonts w:hint="eastAsia" w:cs="Arial"/>
                <w:bCs/>
                <w:highlight w:val="none"/>
                <w:u w:val="single"/>
              </w:rPr>
              <w:t xml:space="preserve">         </w:t>
            </w:r>
            <w:r>
              <w:rPr>
                <w:rFonts w:hint="eastAsia" w:cs="Arial"/>
                <w:bCs/>
                <w:highlight w:val="none"/>
              </w:rPr>
              <w:t>元</w:t>
            </w:r>
          </w:p>
        </w:tc>
        <w:tc>
          <w:tcPr>
            <w:tcW w:w="1904" w:type="dxa"/>
            <w:vMerge w:val="restart"/>
            <w:vAlign w:val="center"/>
          </w:tcPr>
          <w:p>
            <w:pPr>
              <w:jc w:val="cente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highlight w:val="none"/>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highlight w:val="none"/>
              </w:rPr>
            </w:pPr>
            <w:r>
              <w:rPr>
                <w:rFonts w:hint="eastAsia" w:cs="Arial"/>
                <w:bCs/>
                <w:highlight w:val="none"/>
              </w:rPr>
              <w:t>大写：人民币</w:t>
            </w:r>
            <w:r>
              <w:rPr>
                <w:rFonts w:hint="eastAsia" w:cs="Arial"/>
                <w:bCs/>
                <w:highlight w:val="none"/>
                <w:u w:val="single"/>
              </w:rPr>
              <w:t xml:space="preserve">         </w:t>
            </w:r>
          </w:p>
        </w:tc>
        <w:tc>
          <w:tcPr>
            <w:tcW w:w="1904" w:type="dxa"/>
            <w:vMerge w:val="continue"/>
            <w:vAlign w:val="center"/>
          </w:tcPr>
          <w:p>
            <w:pPr>
              <w:jc w:val="center"/>
              <w:rPr>
                <w:highlight w:val="none"/>
              </w:rPr>
            </w:pPr>
          </w:p>
        </w:tc>
      </w:tr>
      <w:bookmarkEnd w:id="94"/>
    </w:tbl>
    <w:p>
      <w:pPr>
        <w:jc w:val="center"/>
        <w:rPr>
          <w:rFonts w:cs="Times New Roman"/>
          <w:highlight w:val="none"/>
        </w:rPr>
      </w:pPr>
    </w:p>
    <w:p>
      <w:pPr>
        <w:spacing w:line="360" w:lineRule="auto"/>
        <w:rPr>
          <w:rFonts w:ascii="宋体" w:cs="Times New Roman"/>
          <w:highlight w:val="none"/>
        </w:rPr>
      </w:pPr>
      <w:r>
        <w:rPr>
          <w:rFonts w:hint="eastAsia" w:ascii="宋体" w:hAnsi="宋体" w:cs="宋体"/>
          <w:highlight w:val="none"/>
        </w:rPr>
        <w:t>注：</w:t>
      </w:r>
    </w:p>
    <w:p>
      <w:pPr>
        <w:numPr>
          <w:ilvl w:val="3"/>
          <w:numId w:val="6"/>
        </w:numPr>
        <w:tabs>
          <w:tab w:val="left" w:pos="720"/>
          <w:tab w:val="left" w:pos="1680"/>
        </w:tabs>
        <w:spacing w:line="360" w:lineRule="auto"/>
        <w:ind w:left="0" w:firstLine="420" w:firstLineChars="200"/>
        <w:rPr>
          <w:rFonts w:ascii="宋体" w:cs="Times New Roman"/>
          <w:highlight w:val="none"/>
        </w:rPr>
      </w:pPr>
      <w:r>
        <w:rPr>
          <w:rFonts w:hint="eastAsia" w:ascii="宋体" w:hAnsi="宋体" w:cs="宋体"/>
          <w:highlight w:val="none"/>
        </w:rPr>
        <w:t>中文大写金额用汉字，如壹、贰、叁、肆、伍、陆、柒、捌、玖、拾、佰、仟、万、亿、元、角、分、零、整（正）等。</w:t>
      </w:r>
    </w:p>
    <w:p>
      <w:pPr>
        <w:numPr>
          <w:ilvl w:val="3"/>
          <w:numId w:val="6"/>
        </w:numPr>
        <w:tabs>
          <w:tab w:val="left" w:pos="720"/>
          <w:tab w:val="left" w:pos="1680"/>
        </w:tabs>
        <w:spacing w:line="360" w:lineRule="auto"/>
        <w:ind w:hanging="1320"/>
        <w:rPr>
          <w:rFonts w:ascii="宋体" w:cs="Times New Roman"/>
          <w:highlight w:val="none"/>
        </w:rPr>
      </w:pPr>
      <w:r>
        <w:rPr>
          <w:rFonts w:hint="eastAsia" w:ascii="宋体" w:hAnsi="宋体" w:cs="宋体"/>
          <w:highlight w:val="none"/>
        </w:rPr>
        <w:t>供应商须按要求填写所有信息，不得随意更改本表格式。</w:t>
      </w:r>
    </w:p>
    <w:p>
      <w:pPr>
        <w:numPr>
          <w:ilvl w:val="3"/>
          <w:numId w:val="6"/>
        </w:numPr>
        <w:tabs>
          <w:tab w:val="left" w:pos="720"/>
          <w:tab w:val="left" w:pos="1680"/>
        </w:tabs>
        <w:spacing w:line="360" w:lineRule="auto"/>
        <w:ind w:left="720" w:hanging="360"/>
        <w:rPr>
          <w:rFonts w:ascii="宋体" w:cs="Times New Roman"/>
          <w:highlight w:val="none"/>
        </w:rPr>
      </w:pPr>
      <w:r>
        <w:rPr>
          <w:rFonts w:hint="eastAsia" w:ascii="宋体" w:hAnsi="宋体" w:cs="宋体"/>
          <w:highlight w:val="none"/>
        </w:rPr>
        <w:t>报价的小数点后保留两位有效数。</w:t>
      </w:r>
    </w:p>
    <w:p>
      <w:pPr>
        <w:numPr>
          <w:ilvl w:val="3"/>
          <w:numId w:val="6"/>
        </w:numPr>
        <w:tabs>
          <w:tab w:val="left" w:pos="720"/>
          <w:tab w:val="left" w:pos="1680"/>
        </w:tabs>
        <w:spacing w:line="360" w:lineRule="auto"/>
        <w:ind w:left="720" w:hanging="360"/>
        <w:rPr>
          <w:rFonts w:ascii="宋体" w:cs="Times New Roman"/>
          <w:highlight w:val="none"/>
        </w:rPr>
      </w:pPr>
      <w:r>
        <w:rPr>
          <w:rFonts w:hint="eastAsia" w:ascii="宋体" w:hAnsi="宋体" w:cs="宋体"/>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highlight w:val="none"/>
        </w:rPr>
      </w:pPr>
    </w:p>
    <w:p>
      <w:pPr>
        <w:pStyle w:val="2"/>
        <w:ind w:firstLine="210"/>
        <w:rPr>
          <w:rFonts w:ascii="宋体" w:cs="Times New Roman"/>
          <w:highlight w:val="none"/>
        </w:rPr>
      </w:pPr>
    </w:p>
    <w:p>
      <w:pPr>
        <w:pStyle w:val="2"/>
        <w:ind w:firstLine="0" w:firstLineChars="0"/>
        <w:rPr>
          <w:rFonts w:ascii="宋体" w:cs="Times New Roman"/>
          <w:highlight w:val="none"/>
        </w:rPr>
      </w:pPr>
    </w:p>
    <w:p>
      <w:pPr>
        <w:spacing w:line="480" w:lineRule="auto"/>
        <w:rPr>
          <w:rFonts w:cs="Times New Roman"/>
          <w:highlight w:val="none"/>
        </w:rPr>
      </w:pPr>
      <w:r>
        <w:rPr>
          <w:rFonts w:hint="eastAsia" w:cs="宋体"/>
          <w:highlight w:val="none"/>
        </w:rPr>
        <w:t>供应商法定代表人（或法定代表人授权代表）签字或盖私章：</w:t>
      </w:r>
    </w:p>
    <w:p>
      <w:pPr>
        <w:spacing w:line="480" w:lineRule="auto"/>
        <w:rPr>
          <w:rFonts w:cs="Times New Roman"/>
          <w:highlight w:val="none"/>
        </w:rPr>
      </w:pPr>
      <w:r>
        <w:rPr>
          <w:rFonts w:hint="eastAsia" w:cs="宋体"/>
          <w:highlight w:val="none"/>
        </w:rPr>
        <w:t>供应商名称（盖公章）：</w:t>
      </w:r>
      <w:r>
        <w:rPr>
          <w:highlight w:val="none"/>
        </w:rPr>
        <w:t xml:space="preserve"> </w:t>
      </w:r>
    </w:p>
    <w:p>
      <w:pPr>
        <w:spacing w:line="480" w:lineRule="auto"/>
        <w:rPr>
          <w:rFonts w:cs="Times New Roman"/>
          <w:highlight w:val="none"/>
        </w:r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p>
      <w:pPr>
        <w:numPr>
          <w:ilvl w:val="0"/>
          <w:numId w:val="4"/>
        </w:numPr>
        <w:spacing w:line="400" w:lineRule="exact"/>
        <w:rPr>
          <w:rFonts w:ascii="黑体" w:hAnsi="Times New Roman" w:eastAsia="黑体" w:cs="黑体"/>
          <w:sz w:val="28"/>
          <w:szCs w:val="28"/>
          <w:highlight w:val="none"/>
        </w:rPr>
      </w:pPr>
      <w:r>
        <w:rPr>
          <w:highlight w:val="none"/>
        </w:rPr>
        <w:br w:type="page"/>
      </w:r>
      <w:bookmarkStart w:id="95" w:name="_Hlk38364591"/>
      <w:bookmarkStart w:id="96" w:name="_Toc16324"/>
    </w:p>
    <w:bookmarkEnd w:id="95"/>
    <w:p>
      <w:pPr>
        <w:pStyle w:val="4"/>
        <w:numPr>
          <w:ilvl w:val="0"/>
          <w:numId w:val="7"/>
        </w:numPr>
        <w:jc w:val="center"/>
        <w:rPr>
          <w:rFonts w:ascii="宋体" w:hAnsi="宋体" w:eastAsia="宋体" w:cs="宋体"/>
          <w:sz w:val="24"/>
          <w:szCs w:val="24"/>
          <w:highlight w:val="none"/>
        </w:rPr>
      </w:pPr>
      <w:r>
        <w:rPr>
          <w:rFonts w:hint="eastAsia" w:ascii="宋体" w:hAnsi="宋体" w:eastAsia="宋体" w:cs="宋体"/>
          <w:sz w:val="24"/>
          <w:szCs w:val="24"/>
          <w:highlight w:val="none"/>
        </w:rPr>
        <w:t>、报价明细表</w:t>
      </w:r>
      <w:bookmarkEnd w:id="96"/>
    </w:p>
    <w:p>
      <w:pPr>
        <w:ind w:firstLine="3920" w:firstLineChars="1400"/>
        <w:jc w:val="left"/>
        <w:rPr>
          <w:rFonts w:ascii="宋体" w:hAnsi="宋体" w:cs="宋体"/>
          <w:sz w:val="24"/>
          <w:szCs w:val="24"/>
          <w:highlight w:val="none"/>
        </w:rPr>
      </w:pPr>
      <w:r>
        <w:rPr>
          <w:rFonts w:hint="eastAsia" w:asciiTheme="minorHAnsi" w:hAnsiTheme="minorHAnsi" w:eastAsiaTheme="minorEastAsia" w:cstheme="minorBidi"/>
          <w:sz w:val="28"/>
          <w:szCs w:val="28"/>
          <w:highlight w:val="none"/>
        </w:rPr>
        <w:t>电梯月</w:t>
      </w:r>
      <w:r>
        <w:rPr>
          <w:rFonts w:hint="eastAsia" w:ascii="宋体" w:hAnsi="宋体" w:cs="宋体"/>
          <w:sz w:val="28"/>
          <w:szCs w:val="28"/>
          <w:highlight w:val="none"/>
        </w:rPr>
        <w:t>/</w:t>
      </w:r>
      <w:r>
        <w:rPr>
          <w:rFonts w:hint="eastAsia" w:asciiTheme="minorEastAsia" w:hAnsiTheme="minorEastAsia" w:eastAsiaTheme="minorEastAsia" w:cstheme="minorEastAsia"/>
          <w:sz w:val="28"/>
          <w:szCs w:val="28"/>
          <w:highlight w:val="none"/>
        </w:rPr>
        <w:t>年报价表</w:t>
      </w:r>
    </w:p>
    <w:tbl>
      <w:tblPr>
        <w:tblStyle w:val="3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644"/>
        <w:gridCol w:w="1210"/>
        <w:gridCol w:w="737"/>
        <w:gridCol w:w="2782"/>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vAlign w:val="center"/>
          </w:tcPr>
          <w:p>
            <w:pPr>
              <w:jc w:val="center"/>
              <w:rPr>
                <w:rFonts w:ascii="宋体" w:hAnsi="宋体" w:cs="宋体"/>
                <w:b/>
                <w:highlight w:val="none"/>
              </w:rPr>
            </w:pPr>
            <w:r>
              <w:rPr>
                <w:rFonts w:hint="eastAsia" w:ascii="宋体" w:hAnsi="宋体" w:cs="宋体"/>
                <w:b/>
                <w:highlight w:val="none"/>
              </w:rPr>
              <w:t>梯号</w:t>
            </w:r>
          </w:p>
        </w:tc>
        <w:tc>
          <w:tcPr>
            <w:tcW w:w="644" w:type="dxa"/>
            <w:vAlign w:val="center"/>
          </w:tcPr>
          <w:p>
            <w:pPr>
              <w:jc w:val="center"/>
              <w:rPr>
                <w:rFonts w:ascii="宋体" w:hAnsi="宋体" w:cs="宋体"/>
                <w:b/>
                <w:highlight w:val="none"/>
              </w:rPr>
            </w:pPr>
            <w:r>
              <w:rPr>
                <w:rFonts w:hint="eastAsia" w:ascii="宋体" w:hAnsi="宋体" w:cs="宋体"/>
                <w:b/>
                <w:highlight w:val="none"/>
              </w:rPr>
              <w:t>品牌</w:t>
            </w:r>
          </w:p>
        </w:tc>
        <w:tc>
          <w:tcPr>
            <w:tcW w:w="1210" w:type="dxa"/>
            <w:vAlign w:val="center"/>
          </w:tcPr>
          <w:p>
            <w:pPr>
              <w:jc w:val="center"/>
              <w:rPr>
                <w:rFonts w:ascii="宋体" w:hAnsi="宋体" w:cs="宋体"/>
                <w:b/>
                <w:highlight w:val="none"/>
              </w:rPr>
            </w:pPr>
            <w:r>
              <w:rPr>
                <w:rFonts w:hint="eastAsia" w:ascii="宋体" w:hAnsi="宋体" w:cs="宋体"/>
                <w:b/>
                <w:highlight w:val="none"/>
              </w:rPr>
              <w:t>层/站/门</w:t>
            </w:r>
          </w:p>
        </w:tc>
        <w:tc>
          <w:tcPr>
            <w:tcW w:w="737" w:type="dxa"/>
            <w:vAlign w:val="center"/>
          </w:tcPr>
          <w:p>
            <w:pPr>
              <w:jc w:val="center"/>
              <w:rPr>
                <w:rFonts w:ascii="宋体" w:hAnsi="宋体" w:cs="宋体"/>
                <w:b/>
                <w:highlight w:val="none"/>
              </w:rPr>
            </w:pPr>
            <w:r>
              <w:rPr>
                <w:rFonts w:hint="eastAsia" w:ascii="宋体" w:hAnsi="宋体" w:cs="宋体"/>
                <w:b/>
                <w:highlight w:val="none"/>
              </w:rPr>
              <w:t>台数</w:t>
            </w:r>
          </w:p>
        </w:tc>
        <w:tc>
          <w:tcPr>
            <w:tcW w:w="2782" w:type="dxa"/>
            <w:vAlign w:val="center"/>
          </w:tcPr>
          <w:p>
            <w:pPr>
              <w:jc w:val="center"/>
              <w:rPr>
                <w:rFonts w:ascii="宋体" w:hAnsi="宋体" w:cs="宋体"/>
                <w:b/>
                <w:highlight w:val="none"/>
              </w:rPr>
            </w:pPr>
            <w:r>
              <w:rPr>
                <w:rFonts w:hint="eastAsia" w:ascii="宋体" w:hAnsi="宋体" w:cs="宋体"/>
                <w:b/>
                <w:highlight w:val="none"/>
              </w:rPr>
              <w:t>月保养金额（元/月/台）</w:t>
            </w:r>
          </w:p>
        </w:tc>
        <w:tc>
          <w:tcPr>
            <w:tcW w:w="2590" w:type="dxa"/>
          </w:tcPr>
          <w:p>
            <w:pPr>
              <w:jc w:val="center"/>
              <w:rPr>
                <w:rFonts w:ascii="宋体" w:hAnsi="宋体" w:cs="宋体"/>
                <w:b/>
                <w:highlight w:val="none"/>
              </w:rPr>
            </w:pPr>
            <w:r>
              <w:rPr>
                <w:rFonts w:hint="eastAsia" w:ascii="宋体" w:hAnsi="宋体" w:cs="宋体"/>
                <w:b/>
                <w:highlight w:val="none"/>
              </w:rPr>
              <w:t>年保养金额（元/年/台）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教工管理用房L1</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11/11/11</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教工管理用房L2</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11/11/11</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综合楼L1</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17/17/17</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综合楼L2</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17/17/17</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综合楼L3</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17/17/17</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综合楼L4</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18/18/18</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综合楼L5</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18/18/18</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图书馆</w:t>
            </w:r>
          </w:p>
        </w:tc>
        <w:tc>
          <w:tcPr>
            <w:tcW w:w="644" w:type="dxa"/>
          </w:tcPr>
          <w:p>
            <w:pPr>
              <w:spacing w:before="120"/>
              <w:jc w:val="center"/>
              <w:rPr>
                <w:rFonts w:ascii="宋体" w:hAnsi="宋体" w:cs="宋体"/>
                <w:b/>
                <w:highlight w:val="none"/>
              </w:rPr>
            </w:pPr>
            <w:r>
              <w:rPr>
                <w:rFonts w:hint="eastAsia" w:ascii="宋体" w:hAnsi="宋体" w:cs="宋体"/>
                <w:b/>
                <w:highlight w:val="none"/>
              </w:rPr>
              <w:t>怡达快速</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图书馆</w:t>
            </w:r>
          </w:p>
        </w:tc>
        <w:tc>
          <w:tcPr>
            <w:tcW w:w="644" w:type="dxa"/>
          </w:tcPr>
          <w:p>
            <w:pPr>
              <w:spacing w:before="120"/>
              <w:jc w:val="center"/>
              <w:rPr>
                <w:rFonts w:ascii="宋体" w:hAnsi="宋体" w:cs="宋体"/>
                <w:b/>
                <w:highlight w:val="none"/>
              </w:rPr>
            </w:pPr>
            <w:r>
              <w:rPr>
                <w:rFonts w:hint="eastAsia" w:ascii="宋体" w:hAnsi="宋体" w:cs="宋体"/>
                <w:b/>
                <w:highlight w:val="none"/>
              </w:rPr>
              <w:t>怡达快速</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图书馆</w:t>
            </w:r>
          </w:p>
        </w:tc>
        <w:tc>
          <w:tcPr>
            <w:tcW w:w="644" w:type="dxa"/>
          </w:tcPr>
          <w:p>
            <w:pPr>
              <w:spacing w:before="120"/>
              <w:jc w:val="center"/>
              <w:rPr>
                <w:rFonts w:ascii="宋体" w:hAnsi="宋体" w:cs="宋体"/>
                <w:b/>
                <w:highlight w:val="none"/>
              </w:rPr>
            </w:pPr>
            <w:r>
              <w:rPr>
                <w:rFonts w:hint="eastAsia" w:ascii="宋体" w:hAnsi="宋体" w:cs="宋体"/>
                <w:b/>
                <w:highlight w:val="none"/>
              </w:rPr>
              <w:t>怡达快速</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学生活动中心</w:t>
            </w:r>
          </w:p>
        </w:tc>
        <w:tc>
          <w:tcPr>
            <w:tcW w:w="644" w:type="dxa"/>
          </w:tcPr>
          <w:p>
            <w:pPr>
              <w:spacing w:before="120"/>
              <w:jc w:val="center"/>
              <w:rPr>
                <w:rFonts w:ascii="宋体" w:hAnsi="宋体" w:cs="宋体"/>
                <w:b/>
                <w:highlight w:val="none"/>
              </w:rPr>
            </w:pPr>
            <w:r>
              <w:rPr>
                <w:rFonts w:hint="eastAsia" w:ascii="宋体" w:hAnsi="宋体" w:cs="宋体"/>
                <w:b/>
                <w:highlight w:val="none"/>
              </w:rPr>
              <w:t>怡达快速</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学生活动中心</w:t>
            </w:r>
          </w:p>
        </w:tc>
        <w:tc>
          <w:tcPr>
            <w:tcW w:w="644" w:type="dxa"/>
          </w:tcPr>
          <w:p>
            <w:pPr>
              <w:spacing w:before="120"/>
              <w:jc w:val="center"/>
              <w:rPr>
                <w:rFonts w:ascii="宋体" w:hAnsi="宋体" w:cs="宋体"/>
                <w:b/>
                <w:highlight w:val="none"/>
              </w:rPr>
            </w:pPr>
            <w:r>
              <w:rPr>
                <w:rFonts w:hint="eastAsia" w:ascii="宋体" w:hAnsi="宋体" w:cs="宋体"/>
                <w:b/>
                <w:highlight w:val="none"/>
              </w:rPr>
              <w:t>怡达快速</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1机械实训楼</w:t>
            </w:r>
          </w:p>
        </w:tc>
        <w:tc>
          <w:tcPr>
            <w:tcW w:w="644" w:type="dxa"/>
          </w:tcPr>
          <w:p>
            <w:pPr>
              <w:spacing w:before="120"/>
              <w:jc w:val="center"/>
              <w:rPr>
                <w:rFonts w:ascii="宋体" w:hAnsi="宋体" w:cs="宋体"/>
                <w:b/>
                <w:highlight w:val="none"/>
              </w:rPr>
            </w:pPr>
            <w:r>
              <w:rPr>
                <w:rFonts w:hint="eastAsia" w:ascii="宋体" w:hAnsi="宋体" w:cs="宋体"/>
                <w:b/>
                <w:highlight w:val="none"/>
              </w:rPr>
              <w:t>美迪斯</w:t>
            </w:r>
          </w:p>
        </w:tc>
        <w:tc>
          <w:tcPr>
            <w:tcW w:w="1210" w:type="dxa"/>
          </w:tcPr>
          <w:p>
            <w:pPr>
              <w:spacing w:before="120"/>
              <w:jc w:val="center"/>
              <w:rPr>
                <w:rFonts w:ascii="宋体" w:hAnsi="宋体" w:cs="宋体"/>
                <w:b/>
                <w:highlight w:val="none"/>
              </w:rPr>
            </w:pPr>
            <w:r>
              <w:rPr>
                <w:rFonts w:hint="eastAsia" w:ascii="宋体" w:hAnsi="宋体" w:cs="宋体"/>
                <w:b/>
                <w:highlight w:val="none"/>
              </w:rPr>
              <w:t>6/6/6</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汽修实训楼</w:t>
            </w:r>
          </w:p>
        </w:tc>
        <w:tc>
          <w:tcPr>
            <w:tcW w:w="644" w:type="dxa"/>
          </w:tcPr>
          <w:p>
            <w:pPr>
              <w:spacing w:before="120"/>
              <w:jc w:val="center"/>
              <w:rPr>
                <w:rFonts w:ascii="宋体" w:hAnsi="宋体" w:cs="宋体"/>
                <w:b/>
                <w:highlight w:val="none"/>
              </w:rPr>
            </w:pPr>
            <w:r>
              <w:rPr>
                <w:rFonts w:hint="eastAsia" w:ascii="宋体" w:hAnsi="宋体" w:cs="宋体"/>
                <w:b/>
                <w:highlight w:val="none"/>
              </w:rPr>
              <w:t>美迪斯</w:t>
            </w:r>
          </w:p>
        </w:tc>
        <w:tc>
          <w:tcPr>
            <w:tcW w:w="1210" w:type="dxa"/>
          </w:tcPr>
          <w:p>
            <w:pPr>
              <w:spacing w:before="120"/>
              <w:jc w:val="center"/>
              <w:rPr>
                <w:rFonts w:ascii="宋体" w:hAnsi="宋体" w:cs="宋体"/>
                <w:b/>
                <w:highlight w:val="none"/>
              </w:rPr>
            </w:pPr>
            <w:r>
              <w:rPr>
                <w:rFonts w:hint="eastAsia" w:ascii="宋体" w:hAnsi="宋体" w:cs="宋体"/>
                <w:b/>
                <w:highlight w:val="none"/>
              </w:rPr>
              <w:t>6/6/6</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ind w:left="422" w:hanging="422" w:hangingChars="200"/>
              <w:rPr>
                <w:rFonts w:ascii="宋体" w:hAnsi="宋体" w:cs="宋体"/>
                <w:b/>
                <w:highlight w:val="none"/>
              </w:rPr>
            </w:pPr>
            <w:r>
              <w:rPr>
                <w:rFonts w:hint="eastAsia" w:ascii="宋体" w:hAnsi="宋体" w:cs="宋体"/>
                <w:b/>
                <w:highlight w:val="none"/>
              </w:rPr>
              <w:t>2机械实训楼</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6/6/6</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ind w:left="422" w:hanging="422" w:hangingChars="200"/>
              <w:rPr>
                <w:rFonts w:ascii="宋体" w:hAnsi="宋体" w:cs="宋体"/>
                <w:b/>
                <w:highlight w:val="none"/>
              </w:rPr>
            </w:pPr>
            <w:r>
              <w:rPr>
                <w:rFonts w:hint="eastAsia" w:ascii="宋体" w:hAnsi="宋体" w:cs="宋体"/>
                <w:b/>
                <w:highlight w:val="none"/>
              </w:rPr>
              <w:t>商务实训楼</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6/6/6</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一区食堂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一区食堂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一区食堂</w:t>
            </w:r>
          </w:p>
        </w:tc>
        <w:tc>
          <w:tcPr>
            <w:tcW w:w="644" w:type="dxa"/>
          </w:tcPr>
          <w:p>
            <w:pPr>
              <w:spacing w:before="120"/>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二区食堂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二区食堂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二区食堂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二区食堂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二区食堂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三区食堂</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4/4/4</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一体化实训楼</w:t>
            </w:r>
          </w:p>
        </w:tc>
        <w:tc>
          <w:tcPr>
            <w:tcW w:w="644" w:type="dxa"/>
          </w:tcPr>
          <w:p>
            <w:pPr>
              <w:spacing w:before="120"/>
              <w:jc w:val="center"/>
              <w:rPr>
                <w:rFonts w:ascii="宋体" w:hAnsi="宋体" w:cs="宋体"/>
                <w:b/>
                <w:highlight w:val="none"/>
              </w:rPr>
            </w:pPr>
            <w:r>
              <w:rPr>
                <w:rFonts w:hint="eastAsia" w:ascii="宋体" w:hAnsi="宋体" w:cs="宋体"/>
                <w:b/>
                <w:highlight w:val="none"/>
              </w:rPr>
              <w:t>施密斯</w:t>
            </w:r>
          </w:p>
        </w:tc>
        <w:tc>
          <w:tcPr>
            <w:tcW w:w="1210" w:type="dxa"/>
          </w:tcPr>
          <w:p>
            <w:pPr>
              <w:spacing w:before="120"/>
              <w:jc w:val="center"/>
              <w:rPr>
                <w:rFonts w:ascii="宋体" w:hAnsi="宋体" w:cs="宋体"/>
                <w:b/>
                <w:highlight w:val="none"/>
              </w:rPr>
            </w:pPr>
            <w:r>
              <w:rPr>
                <w:rFonts w:hint="eastAsia" w:ascii="宋体" w:hAnsi="宋体" w:cs="宋体"/>
                <w:b/>
                <w:highlight w:val="none"/>
              </w:rPr>
              <w:t>5/5/6</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一区食堂杂物梯</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spacing w:before="120"/>
              <w:jc w:val="center"/>
              <w:rPr>
                <w:rFonts w:ascii="宋体" w:hAnsi="宋体" w:cs="宋体"/>
                <w:b/>
                <w:highlight w:val="none"/>
              </w:rPr>
            </w:pPr>
            <w:r>
              <w:rPr>
                <w:rFonts w:hint="eastAsia" w:ascii="宋体" w:hAnsi="宋体" w:cs="宋体"/>
                <w:b/>
                <w:highlight w:val="none"/>
              </w:rPr>
              <w:t>三区食堂杂物梯</w:t>
            </w:r>
          </w:p>
        </w:tc>
        <w:tc>
          <w:tcPr>
            <w:tcW w:w="644" w:type="dxa"/>
          </w:tcPr>
          <w:p>
            <w:pPr>
              <w:spacing w:before="120"/>
              <w:jc w:val="center"/>
              <w:rPr>
                <w:rFonts w:ascii="宋体" w:hAnsi="宋体" w:cs="宋体"/>
                <w:b/>
                <w:highlight w:val="none"/>
              </w:rPr>
            </w:pPr>
            <w:r>
              <w:rPr>
                <w:rFonts w:hint="eastAsia" w:ascii="宋体" w:hAnsi="宋体" w:cs="宋体"/>
                <w:b/>
                <w:highlight w:val="none"/>
              </w:rPr>
              <w:t>西继迅达</w:t>
            </w:r>
          </w:p>
        </w:tc>
        <w:tc>
          <w:tcPr>
            <w:tcW w:w="1210" w:type="dxa"/>
          </w:tcPr>
          <w:p>
            <w:pPr>
              <w:spacing w:before="120"/>
              <w:jc w:val="center"/>
              <w:rPr>
                <w:rFonts w:ascii="宋体" w:hAnsi="宋体" w:cs="宋体"/>
                <w:b/>
                <w:highlight w:val="none"/>
              </w:rPr>
            </w:pPr>
            <w:r>
              <w:rPr>
                <w:rFonts w:hint="eastAsia" w:ascii="宋体" w:hAnsi="宋体" w:cs="宋体"/>
                <w:b/>
                <w:highlight w:val="none"/>
              </w:rPr>
              <w:t>3/3/3</w:t>
            </w:r>
          </w:p>
        </w:tc>
        <w:tc>
          <w:tcPr>
            <w:tcW w:w="737" w:type="dxa"/>
          </w:tcPr>
          <w:p>
            <w:pPr>
              <w:spacing w:before="120"/>
              <w:jc w:val="center"/>
              <w:rPr>
                <w:rFonts w:ascii="宋体" w:hAnsi="宋体" w:cs="宋体"/>
                <w:b/>
                <w:highlight w:val="none"/>
              </w:rPr>
            </w:pPr>
            <w:r>
              <w:rPr>
                <w:rFonts w:hint="eastAsia" w:ascii="宋体" w:hAnsi="宋体" w:cs="宋体"/>
                <w:b/>
                <w:highlight w:val="none"/>
              </w:rPr>
              <w:t>1</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Pr>
          <w:p>
            <w:pPr>
              <w:tabs>
                <w:tab w:val="left" w:pos="336"/>
              </w:tabs>
              <w:spacing w:before="120"/>
              <w:jc w:val="left"/>
              <w:rPr>
                <w:rFonts w:hint="eastAsia" w:ascii="宋体" w:hAnsi="宋体" w:eastAsia="宋体" w:cs="宋体"/>
                <w:b/>
                <w:highlight w:val="none"/>
                <w:lang w:eastAsia="zh-CN"/>
              </w:rPr>
            </w:pPr>
            <w:r>
              <w:rPr>
                <w:rFonts w:hint="eastAsia" w:ascii="宋体" w:hAnsi="宋体" w:cs="宋体"/>
                <w:b/>
                <w:highlight w:val="none"/>
                <w:lang w:eastAsia="zh-CN"/>
              </w:rPr>
              <w:tab/>
            </w:r>
            <w:r>
              <w:rPr>
                <w:rFonts w:hint="eastAsia" w:ascii="宋体" w:hAnsi="宋体" w:cs="宋体"/>
                <w:b/>
                <w:highlight w:val="none"/>
                <w:lang w:eastAsia="zh-CN"/>
              </w:rPr>
              <w:t>合计（台）</w:t>
            </w:r>
          </w:p>
        </w:tc>
        <w:tc>
          <w:tcPr>
            <w:tcW w:w="644" w:type="dxa"/>
          </w:tcPr>
          <w:p>
            <w:pPr>
              <w:spacing w:before="120"/>
              <w:jc w:val="center"/>
              <w:rPr>
                <w:rFonts w:ascii="宋体" w:hAnsi="宋体" w:cs="宋体"/>
                <w:b/>
                <w:highlight w:val="none"/>
              </w:rPr>
            </w:pPr>
          </w:p>
        </w:tc>
        <w:tc>
          <w:tcPr>
            <w:tcW w:w="1210" w:type="dxa"/>
          </w:tcPr>
          <w:p>
            <w:pPr>
              <w:spacing w:before="120"/>
              <w:jc w:val="center"/>
              <w:rPr>
                <w:rFonts w:ascii="宋体" w:hAnsi="宋体" w:cs="宋体"/>
                <w:b/>
                <w:highlight w:val="none"/>
              </w:rPr>
            </w:pPr>
          </w:p>
        </w:tc>
        <w:tc>
          <w:tcPr>
            <w:tcW w:w="737" w:type="dxa"/>
          </w:tcPr>
          <w:p>
            <w:pPr>
              <w:spacing w:before="120"/>
              <w:jc w:val="center"/>
              <w:rPr>
                <w:rFonts w:ascii="宋体" w:hAnsi="宋体" w:cs="宋体"/>
                <w:b/>
                <w:highlight w:val="none"/>
              </w:rPr>
            </w:pPr>
            <w:r>
              <w:rPr>
                <w:rFonts w:hint="eastAsia" w:ascii="宋体" w:hAnsi="宋体" w:cs="宋体"/>
                <w:b/>
                <w:highlight w:val="none"/>
              </w:rPr>
              <w:t>28</w:t>
            </w:r>
          </w:p>
        </w:tc>
        <w:tc>
          <w:tcPr>
            <w:tcW w:w="2782" w:type="dxa"/>
          </w:tcPr>
          <w:p>
            <w:pPr>
              <w:spacing w:before="120"/>
              <w:jc w:val="center"/>
              <w:rPr>
                <w:rFonts w:ascii="宋体" w:hAnsi="宋体" w:cs="宋体"/>
                <w:b/>
                <w:highlight w:val="none"/>
              </w:rPr>
            </w:pPr>
          </w:p>
        </w:tc>
        <w:tc>
          <w:tcPr>
            <w:tcW w:w="2590" w:type="dxa"/>
          </w:tcPr>
          <w:p>
            <w:pPr>
              <w:spacing w:before="120"/>
              <w:jc w:val="center"/>
              <w:rPr>
                <w:rFonts w:ascii="宋体" w:hAnsi="宋体" w:cs="宋体"/>
                <w:b/>
                <w:highlight w:val="none"/>
              </w:rPr>
            </w:pPr>
          </w:p>
        </w:tc>
      </w:tr>
    </w:tbl>
    <w:p>
      <w:pPr>
        <w:pStyle w:val="2"/>
        <w:ind w:left="483" w:firstLine="0" w:firstLineChars="0"/>
        <w:rPr>
          <w:highlight w:val="none"/>
        </w:rPr>
      </w:pPr>
    </w:p>
    <w:p>
      <w:pPr>
        <w:rPr>
          <w:highlight w:val="none"/>
        </w:rPr>
      </w:pPr>
    </w:p>
    <w:p>
      <w:pPr>
        <w:spacing w:line="360" w:lineRule="auto"/>
        <w:ind w:left="525" w:hanging="525" w:hangingChars="250"/>
        <w:rPr>
          <w:rFonts w:ascii="宋体" w:cs="Times New Roman"/>
          <w:highlight w:val="none"/>
        </w:rPr>
      </w:pPr>
      <w:r>
        <w:rPr>
          <w:rFonts w:hint="eastAsia" w:ascii="宋体" w:hAnsi="宋体" w:cs="宋体"/>
          <w:highlight w:val="none"/>
        </w:rPr>
        <w:t>注：</w:t>
      </w:r>
      <w:r>
        <w:rPr>
          <w:rFonts w:ascii="宋体" w:hAnsi="宋体" w:cs="宋体"/>
          <w:highlight w:val="none"/>
        </w:rPr>
        <w:t>1.</w:t>
      </w:r>
      <w:r>
        <w:rPr>
          <w:rFonts w:hint="eastAsia" w:ascii="宋体" w:hAnsi="宋体" w:cs="宋体"/>
          <w:highlight w:val="none"/>
        </w:rPr>
        <w:t>该表格式仅作参考，供应商的详细报价表格式可自定。以上内容必须与技术方案中所介绍的内容、《报价一览表》一致。</w:t>
      </w:r>
    </w:p>
    <w:p>
      <w:pPr>
        <w:tabs>
          <w:tab w:val="left" w:pos="9360"/>
        </w:tabs>
        <w:spacing w:line="360" w:lineRule="auto"/>
        <w:rPr>
          <w:rFonts w:ascii="宋体" w:cs="Times New Roman"/>
          <w:highlight w:val="none"/>
        </w:rPr>
      </w:pPr>
      <w:r>
        <w:rPr>
          <w:highlight w:val="none"/>
        </w:rPr>
        <w:t xml:space="preserve"> </w:t>
      </w:r>
      <w:r>
        <w:rPr>
          <w:rFonts w:ascii="宋体" w:hAnsi="宋体" w:cs="宋体"/>
          <w:highlight w:val="none"/>
        </w:rPr>
        <w:t xml:space="preserve">   2.</w:t>
      </w:r>
      <w:r>
        <w:rPr>
          <w:rFonts w:hint="eastAsia" w:ascii="宋体" w:hAnsi="宋体" w:cs="宋体"/>
          <w:highlight w:val="none"/>
        </w:rPr>
        <w:t>如果以上内容无法满足供应商对投标报价描述，可自行添加包含在价格因素内的一切内容。</w:t>
      </w:r>
    </w:p>
    <w:p>
      <w:pPr>
        <w:spacing w:line="360" w:lineRule="auto"/>
        <w:ind w:left="714" w:leftChars="200" w:hanging="294" w:hangingChars="140"/>
        <w:rPr>
          <w:rFonts w:ascii="宋体" w:cs="Times New Roman"/>
          <w:highlight w:val="none"/>
        </w:rPr>
      </w:pPr>
      <w:r>
        <w:rPr>
          <w:rFonts w:ascii="宋体" w:hAnsi="宋体" w:cs="宋体"/>
          <w:highlight w:val="none"/>
        </w:rPr>
        <w:t>3.</w:t>
      </w:r>
      <w:r>
        <w:rPr>
          <w:rFonts w:hint="eastAsia" w:ascii="宋体" w:hAnsi="宋体" w:cs="宋体"/>
          <w:highlight w:val="none"/>
        </w:rPr>
        <w:t>分项报价的合计应等于“报价一览表”中的报价。</w:t>
      </w:r>
    </w:p>
    <w:p>
      <w:pPr>
        <w:spacing w:line="360" w:lineRule="auto"/>
        <w:ind w:left="720" w:hanging="720"/>
        <w:rPr>
          <w:rFonts w:ascii="宋体" w:cs="Times New Roman"/>
          <w:highlight w:val="none"/>
        </w:rPr>
      </w:pPr>
      <w:r>
        <w:rPr>
          <w:rFonts w:ascii="宋体" w:hAnsi="宋体" w:cs="宋体"/>
          <w:highlight w:val="none"/>
        </w:rPr>
        <w:t xml:space="preserve">    4.</w:t>
      </w:r>
      <w:r>
        <w:rPr>
          <w:rFonts w:hint="eastAsia" w:ascii="宋体" w:hAnsi="宋体" w:cs="宋体"/>
          <w:highlight w:val="none"/>
        </w:rPr>
        <w:t>请详细阅读本询价文件采购需求书中的工作内容，并根据采购需求书编制此详细报价清单，请详细列明各个费用明细。</w:t>
      </w:r>
    </w:p>
    <w:p>
      <w:pPr>
        <w:pStyle w:val="15"/>
        <w:spacing w:line="360" w:lineRule="auto"/>
        <w:ind w:firstLine="420" w:firstLineChars="200"/>
        <w:rPr>
          <w:rFonts w:ascii="宋体" w:hAnsi="宋体" w:cs="宋体"/>
          <w:b/>
          <w:bCs/>
          <w:highlight w:val="none"/>
        </w:rPr>
      </w:pPr>
      <w:r>
        <w:rPr>
          <w:rFonts w:hint="eastAsia" w:ascii="宋体" w:cs="宋体"/>
          <w:highlight w:val="none"/>
          <w:lang w:eastAsia="zh-CN"/>
        </w:rPr>
        <w:t>▲</w:t>
      </w:r>
      <w:r>
        <w:rPr>
          <w:rFonts w:hint="eastAsia" w:ascii="宋体" w:hAnsi="宋体" w:cs="宋体"/>
          <w:b/>
          <w:bCs/>
          <w:highlight w:val="none"/>
        </w:rPr>
        <w:t>5</w:t>
      </w:r>
      <w:r>
        <w:rPr>
          <w:rFonts w:ascii="宋体" w:hAnsi="宋体" w:cs="宋体"/>
          <w:b/>
          <w:bCs/>
          <w:highlight w:val="none"/>
        </w:rPr>
        <w:t>.</w:t>
      </w:r>
      <w:r>
        <w:rPr>
          <w:rFonts w:hint="eastAsia" w:ascii="宋体" w:hAnsi="宋体" w:cs="宋体"/>
          <w:b/>
          <w:bCs/>
          <w:highlight w:val="none"/>
        </w:rPr>
        <w:t>供应商各分项报价不得高于本项目采购清单中各分项预算合价、总报价不得高于本项目预算金额，否则视为无效投标。</w:t>
      </w:r>
    </w:p>
    <w:p>
      <w:pPr>
        <w:spacing w:line="360" w:lineRule="auto"/>
        <w:rPr>
          <w:rFonts w:cs="Times New Roman"/>
          <w:highlight w:val="none"/>
        </w:rPr>
      </w:pPr>
    </w:p>
    <w:p>
      <w:pPr>
        <w:pStyle w:val="2"/>
        <w:ind w:firstLine="210"/>
        <w:rPr>
          <w:rFonts w:cs="Times New Roman"/>
          <w:highlight w:val="none"/>
        </w:rPr>
      </w:pPr>
    </w:p>
    <w:bookmarkEnd w:id="87"/>
    <w:bookmarkEnd w:id="88"/>
    <w:bookmarkEnd w:id="89"/>
    <w:p>
      <w:pPr>
        <w:spacing w:line="480" w:lineRule="auto"/>
        <w:rPr>
          <w:rFonts w:cs="Times New Roman"/>
          <w:highlight w:val="none"/>
        </w:rPr>
      </w:pPr>
      <w:bookmarkStart w:id="97" w:name="_Toc173647298"/>
      <w:r>
        <w:rPr>
          <w:rFonts w:hint="eastAsia" w:cs="宋体"/>
          <w:highlight w:val="none"/>
        </w:rPr>
        <w:t>供应商法定代表人（或法定代表人授权代表）签字或盖私章：</w:t>
      </w:r>
    </w:p>
    <w:p>
      <w:pPr>
        <w:spacing w:line="480" w:lineRule="auto"/>
        <w:rPr>
          <w:rFonts w:cs="Times New Roman"/>
          <w:highlight w:val="none"/>
        </w:rPr>
      </w:pPr>
      <w:r>
        <w:rPr>
          <w:rFonts w:hint="eastAsia" w:cs="宋体"/>
          <w:highlight w:val="none"/>
        </w:rPr>
        <w:t>供应商名称（盖公章）：</w:t>
      </w:r>
      <w:r>
        <w:rPr>
          <w:highlight w:val="none"/>
        </w:rPr>
        <w:t xml:space="preserve"> </w:t>
      </w:r>
    </w:p>
    <w:p>
      <w:pPr>
        <w:spacing w:line="480" w:lineRule="auto"/>
        <w:rPr>
          <w:szCs w:val="24"/>
          <w:highlight w:val="none"/>
        </w:rPr>
        <w:sectPr>
          <w:pgSz w:w="11906" w:h="16838"/>
          <w:pgMar w:top="1135" w:right="1135" w:bottom="1135" w:left="1135" w:header="699" w:footer="567" w:gutter="0"/>
          <w:cols w:space="720" w:num="1"/>
          <w:docGrid w:type="lines" w:linePitch="312" w:charSpace="0"/>
        </w:sectPr>
      </w:pPr>
      <w:r>
        <w:rPr>
          <w:rFonts w:hint="eastAsia" w:cs="宋体"/>
          <w:highlight w:val="none"/>
        </w:rPr>
        <w:t>日期：</w:t>
      </w:r>
      <w:r>
        <w:rPr>
          <w:highlight w:val="none"/>
        </w:rPr>
        <w:t xml:space="preserve">   </w:t>
      </w:r>
      <w:r>
        <w:rPr>
          <w:rFonts w:hint="eastAsia" w:cs="宋体"/>
          <w:highlight w:val="none"/>
        </w:rPr>
        <w:t>年</w:t>
      </w:r>
      <w:r>
        <w:rPr>
          <w:highlight w:val="none"/>
        </w:rPr>
        <w:t xml:space="preserve">   </w:t>
      </w:r>
      <w:r>
        <w:rPr>
          <w:rFonts w:hint="eastAsia" w:cs="宋体"/>
          <w:highlight w:val="none"/>
        </w:rPr>
        <w:t>月</w:t>
      </w:r>
      <w:r>
        <w:rPr>
          <w:highlight w:val="none"/>
        </w:rPr>
        <w:t xml:space="preserve">   </w:t>
      </w:r>
      <w:r>
        <w:rPr>
          <w:rFonts w:hint="eastAsia" w:cs="宋体"/>
          <w:highlight w:val="none"/>
        </w:rPr>
        <w:t>日</w:t>
      </w:r>
    </w:p>
    <w:bookmarkEnd w:id="97"/>
    <w:p>
      <w:pPr>
        <w:numPr>
          <w:ilvl w:val="0"/>
          <w:numId w:val="0"/>
        </w:numPr>
        <w:spacing w:line="400" w:lineRule="exact"/>
        <w:ind w:left="142" w:leftChars="0"/>
        <w:rPr>
          <w:rFonts w:hint="eastAsia" w:ascii="黑体" w:hAnsi="Times New Roman" w:eastAsia="黑体" w:cs="黑体"/>
          <w:sz w:val="28"/>
          <w:szCs w:val="28"/>
          <w:highlight w:val="none"/>
          <w:lang w:val="en-US" w:eastAsia="zh-CN"/>
        </w:rPr>
      </w:pPr>
      <w:r>
        <w:rPr>
          <w:rFonts w:hint="eastAsia" w:ascii="黑体" w:hAnsi="Times New Roman" w:eastAsia="黑体" w:cs="黑体"/>
          <w:sz w:val="28"/>
          <w:szCs w:val="28"/>
          <w:highlight w:val="none"/>
          <w:lang w:val="en-US" w:eastAsia="zh-CN"/>
        </w:rPr>
        <w:t>格式7</w:t>
      </w:r>
    </w:p>
    <w:p>
      <w:pPr>
        <w:pStyle w:val="3"/>
        <w:spacing w:line="360" w:lineRule="auto"/>
        <w:jc w:val="center"/>
        <w:rPr>
          <w:rFonts w:ascii="宋体" w:hAnsi="宋体" w:cs="宋体"/>
          <w:sz w:val="32"/>
          <w:szCs w:val="32"/>
          <w:highlight w:val="none"/>
        </w:rPr>
      </w:pPr>
    </w:p>
    <w:p>
      <w:pPr>
        <w:pStyle w:val="3"/>
        <w:spacing w:line="360" w:lineRule="auto"/>
        <w:jc w:val="center"/>
        <w:rPr>
          <w:rFonts w:ascii="宋体" w:hAnsi="宋体" w:cs="宋体"/>
          <w:sz w:val="32"/>
          <w:szCs w:val="32"/>
          <w:highlight w:val="none"/>
        </w:rPr>
      </w:pPr>
      <w:bookmarkStart w:id="98" w:name="_Toc2840"/>
      <w:r>
        <w:rPr>
          <w:rFonts w:hint="eastAsia" w:ascii="宋体" w:hAnsi="宋体" w:cs="宋体"/>
          <w:sz w:val="32"/>
          <w:szCs w:val="32"/>
          <w:highlight w:val="none"/>
        </w:rPr>
        <w:t>供应商认为需要提供的其他资料</w:t>
      </w:r>
      <w:bookmarkEnd w:id="98"/>
    </w:p>
    <w:p>
      <w:pPr>
        <w:rPr>
          <w:rFonts w:ascii="宋体" w:hAnsi="宋体"/>
          <w:highlight w:val="none"/>
          <w:lang w:val="zh-CN"/>
        </w:rPr>
      </w:pPr>
    </w:p>
    <w:p>
      <w:pPr>
        <w:rPr>
          <w:rFonts w:cs="Times New Roman"/>
          <w:b/>
          <w:bCs/>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9373" w:type="dxa"/>
          <w:vAlign w:val="center"/>
        </w:tcPr>
        <w:p>
          <w:pPr>
            <w:pStyle w:val="23"/>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pPr>
            <w:pStyle w:val="22"/>
            <w:jc w:val="center"/>
            <w:rPr>
              <w:color w:val="FFFFFF"/>
            </w:rP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2"/>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933FD"/>
    <w:multiLevelType w:val="singleLevel"/>
    <w:tmpl w:val="E69933F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0FB89B"/>
    <w:multiLevelType w:val="singleLevel"/>
    <w:tmpl w:val="180FB89B"/>
    <w:lvl w:ilvl="0" w:tentative="0">
      <w:start w:val="8"/>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num>
  <w:num w:numId="5">
    <w:abstractNumId w:val="4"/>
    <w:lvlOverride w:ilvl="0">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33656"/>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6917"/>
    <w:rsid w:val="00397CE6"/>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70586A"/>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8306A"/>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1A539A"/>
    <w:rsid w:val="183262BB"/>
    <w:rsid w:val="1870134E"/>
    <w:rsid w:val="18D93586"/>
    <w:rsid w:val="18E9064E"/>
    <w:rsid w:val="191B2BC9"/>
    <w:rsid w:val="191C3C2B"/>
    <w:rsid w:val="19414DFD"/>
    <w:rsid w:val="19667770"/>
    <w:rsid w:val="19670372"/>
    <w:rsid w:val="19A13E6A"/>
    <w:rsid w:val="1A597781"/>
    <w:rsid w:val="1A674BDF"/>
    <w:rsid w:val="1A6A50A2"/>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5B6695"/>
    <w:rsid w:val="22E16D2C"/>
    <w:rsid w:val="23513516"/>
    <w:rsid w:val="235C0D8C"/>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E346694"/>
    <w:rsid w:val="2E585EB6"/>
    <w:rsid w:val="2E5A3C54"/>
    <w:rsid w:val="2E756F3C"/>
    <w:rsid w:val="2F6F0866"/>
    <w:rsid w:val="30444961"/>
    <w:rsid w:val="30976FBB"/>
    <w:rsid w:val="30B27859"/>
    <w:rsid w:val="310F3CF8"/>
    <w:rsid w:val="31266B62"/>
    <w:rsid w:val="313A423C"/>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576C68"/>
    <w:rsid w:val="377B152A"/>
    <w:rsid w:val="377D72FB"/>
    <w:rsid w:val="37820B60"/>
    <w:rsid w:val="37A161DE"/>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2B5D93"/>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56AEA"/>
    <w:rsid w:val="68BE4DCC"/>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6A5258"/>
    <w:rsid w:val="6F915FDB"/>
    <w:rsid w:val="6FD315C3"/>
    <w:rsid w:val="6FF723C3"/>
    <w:rsid w:val="701704B6"/>
    <w:rsid w:val="70474D32"/>
    <w:rsid w:val="70772053"/>
    <w:rsid w:val="70DC241A"/>
    <w:rsid w:val="70F806AF"/>
    <w:rsid w:val="716E59A9"/>
    <w:rsid w:val="71955B11"/>
    <w:rsid w:val="71AA05CD"/>
    <w:rsid w:val="71DB12B3"/>
    <w:rsid w:val="72486269"/>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3302</Words>
  <Characters>3828</Characters>
  <Lines>178</Lines>
  <Paragraphs>50</Paragraphs>
  <TotalTime>1</TotalTime>
  <ScaleCrop>false</ScaleCrop>
  <LinksUpToDate>false</LinksUpToDate>
  <CharactersWithSpaces>3969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覃建松</cp:lastModifiedBy>
  <cp:lastPrinted>2023-02-20T02:17:00Z</cp:lastPrinted>
  <dcterms:modified xsi:type="dcterms:W3CDTF">2026-04-09T10:34:24Z</dcterms:modified>
  <dc:title>国内货物采购招标文件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8866C19CDAD744B1AD4CF96C89D51EFE_13</vt:lpwstr>
  </property>
  <property fmtid="{D5CDD505-2E9C-101B-9397-08002B2CF9AE}" pid="4" name="KSOTemplateDocerSaveRecord">
    <vt:lpwstr>eyJoZGlkIjoiNzc3YjQ5ZDdhZTEwMzc0ZjBjNzM4YzNmMzY0YmNmOWYiLCJ1c2VySWQiOiIyMDc5MzQxMTkifQ==</vt:lpwstr>
  </property>
</Properties>
</file>