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C2AC7">
      <w:pPr>
        <w:widowControl/>
        <w:spacing w:line="560" w:lineRule="exact"/>
        <w:jc w:val="left"/>
        <w:rPr>
          <w:rFonts w:hint="eastAsia" w:ascii="黑体" w:hAnsi="黑体" w:eastAsia="黑体"/>
          <w:szCs w:val="32"/>
        </w:rPr>
      </w:pPr>
      <w:r>
        <w:rPr>
          <w:rFonts w:hint="eastAsia" w:ascii="黑体" w:hAnsi="黑体" w:eastAsia="黑体"/>
          <w:szCs w:val="32"/>
        </w:rPr>
        <w:t>附件</w:t>
      </w:r>
      <w:r>
        <w:rPr>
          <w:rFonts w:hint="eastAsia" w:eastAsia="黑体"/>
          <w:szCs w:val="32"/>
        </w:rPr>
        <w:t>5</w:t>
      </w:r>
    </w:p>
    <w:p w14:paraId="04421975">
      <w:pPr>
        <w:spacing w:line="660" w:lineRule="exact"/>
        <w:jc w:val="center"/>
        <w:rPr>
          <w:rFonts w:eastAsia="方正小标宋简体"/>
          <w:sz w:val="44"/>
          <w:szCs w:val="44"/>
        </w:rPr>
      </w:pPr>
      <w:bookmarkStart w:id="0" w:name="_Hlk132119347"/>
    </w:p>
    <w:p w14:paraId="702693AF">
      <w:pPr>
        <w:spacing w:line="660" w:lineRule="exact"/>
        <w:jc w:val="center"/>
        <w:rPr>
          <w:rFonts w:eastAsia="方正小标宋简体"/>
          <w:sz w:val="44"/>
          <w:szCs w:val="44"/>
        </w:rPr>
      </w:pPr>
      <w:r>
        <w:rPr>
          <w:rFonts w:eastAsia="方正小标宋简体"/>
          <w:sz w:val="44"/>
          <w:szCs w:val="44"/>
        </w:rPr>
        <w:t>2025年广西职业教育自治区级</w:t>
      </w:r>
    </w:p>
    <w:bookmarkEnd w:id="0"/>
    <w:p w14:paraId="114859AC">
      <w:pPr>
        <w:spacing w:line="660" w:lineRule="exact"/>
        <w:jc w:val="center"/>
        <w:rPr>
          <w:rFonts w:eastAsia="方正小标宋简体"/>
          <w:sz w:val="44"/>
          <w:szCs w:val="44"/>
        </w:rPr>
      </w:pPr>
      <w:r>
        <w:rPr>
          <w:rFonts w:eastAsia="方正小标宋简体"/>
          <w:sz w:val="44"/>
          <w:szCs w:val="44"/>
        </w:rPr>
        <w:t>教学成果等次申报书</w:t>
      </w:r>
    </w:p>
    <w:p w14:paraId="6D136A26">
      <w:pPr>
        <w:rPr>
          <w:rFonts w:hint="eastAsia" w:ascii="仿宋_GB2312" w:eastAsia="仿宋_GB2312"/>
          <w:sz w:val="30"/>
          <w:szCs w:val="30"/>
        </w:rPr>
      </w:pP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5898"/>
      </w:tblGrid>
      <w:tr w14:paraId="4F2D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2236B708">
            <w:pPr>
              <w:jc w:val="distribute"/>
              <w:rPr>
                <w:rFonts w:ascii="宋体" w:hAnsi="宋体" w:eastAsia="宋体"/>
                <w:sz w:val="28"/>
                <w:szCs w:val="28"/>
              </w:rPr>
            </w:pPr>
            <w:r>
              <w:rPr>
                <w:rFonts w:ascii="宋体" w:hAnsi="宋体" w:eastAsia="宋体"/>
                <w:sz w:val="28"/>
                <w:szCs w:val="28"/>
              </w:rPr>
              <w:t>成果名称</w:t>
            </w:r>
          </w:p>
        </w:tc>
        <w:tc>
          <w:tcPr>
            <w:tcW w:w="5898" w:type="dxa"/>
            <w:noWrap w:val="0"/>
            <w:vAlign w:val="center"/>
          </w:tcPr>
          <w:p w14:paraId="771136F3">
            <w:pPr>
              <w:rPr>
                <w:rFonts w:hint="eastAsia" w:ascii="宋体" w:hAnsi="宋体" w:eastAsia="宋体"/>
                <w:sz w:val="28"/>
                <w:szCs w:val="28"/>
                <w:lang w:val="en-US" w:eastAsia="zh-CN"/>
              </w:rPr>
            </w:pPr>
            <w:r>
              <w:rPr>
                <w:rFonts w:hint="eastAsia" w:ascii="宋体" w:hAnsi="宋体" w:eastAsia="宋体"/>
                <w:sz w:val="28"/>
                <w:szCs w:val="28"/>
                <w:lang w:val="en-US" w:eastAsia="zh-CN"/>
              </w:rPr>
              <w:t>三境工学交替·四岗育训协同：康养类技能工匠人才培养体系十年的探索与实践</w:t>
            </w:r>
          </w:p>
        </w:tc>
      </w:tr>
      <w:tr w14:paraId="19C1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053B0577">
            <w:pPr>
              <w:jc w:val="distribute"/>
              <w:rPr>
                <w:rFonts w:ascii="宋体" w:hAnsi="宋体" w:eastAsia="宋体"/>
                <w:sz w:val="28"/>
                <w:szCs w:val="28"/>
              </w:rPr>
            </w:pPr>
            <w:r>
              <w:rPr>
                <w:rFonts w:hint="eastAsia" w:ascii="宋体" w:hAnsi="宋体" w:eastAsia="宋体"/>
                <w:sz w:val="28"/>
                <w:szCs w:val="28"/>
              </w:rPr>
              <w:t>成果完成人</w:t>
            </w:r>
          </w:p>
        </w:tc>
        <w:tc>
          <w:tcPr>
            <w:tcW w:w="5898" w:type="dxa"/>
            <w:noWrap w:val="0"/>
            <w:vAlign w:val="center"/>
          </w:tcPr>
          <w:p w14:paraId="332A58A0">
            <w:pPr>
              <w:rPr>
                <w:rFonts w:hint="eastAsia" w:ascii="宋体" w:hAnsi="宋体" w:eastAsia="宋体"/>
                <w:sz w:val="28"/>
                <w:szCs w:val="28"/>
                <w:lang w:val="en-US" w:eastAsia="zh-CN"/>
              </w:rPr>
            </w:pPr>
            <w:r>
              <w:rPr>
                <w:rFonts w:hint="eastAsia" w:ascii="宋体" w:hAnsi="宋体" w:eastAsia="宋体"/>
                <w:sz w:val="28"/>
                <w:szCs w:val="28"/>
                <w:lang w:val="en-US" w:eastAsia="zh-CN"/>
              </w:rPr>
              <w:t>陈建霞、岑惠杰、吴  珺、覃淑芬、</w:t>
            </w:r>
          </w:p>
          <w:p w14:paraId="46380E31">
            <w:pPr>
              <w:rPr>
                <w:rFonts w:hint="eastAsia" w:ascii="宋体" w:hAnsi="宋体" w:eastAsia="宋体"/>
                <w:sz w:val="28"/>
                <w:szCs w:val="28"/>
                <w:lang w:val="en-US" w:eastAsia="zh-CN"/>
              </w:rPr>
            </w:pPr>
            <w:r>
              <w:rPr>
                <w:rFonts w:hint="eastAsia" w:ascii="宋体" w:hAnsi="宋体" w:eastAsia="宋体"/>
                <w:sz w:val="28"/>
                <w:szCs w:val="28"/>
                <w:lang w:val="en-US" w:eastAsia="zh-CN"/>
              </w:rPr>
              <w:t>张清梅、付  强、农才明、白如玉、梁丽、</w:t>
            </w:r>
          </w:p>
          <w:p w14:paraId="6CC39B12">
            <w:pPr>
              <w:rPr>
                <w:rFonts w:hint="default" w:ascii="宋体" w:hAnsi="宋体" w:eastAsia="宋体"/>
                <w:sz w:val="28"/>
                <w:szCs w:val="28"/>
                <w:lang w:val="en-US" w:eastAsia="zh-CN"/>
              </w:rPr>
            </w:pPr>
            <w:r>
              <w:rPr>
                <w:rFonts w:hint="eastAsia" w:ascii="宋体" w:hAnsi="宋体" w:eastAsia="宋体"/>
                <w:sz w:val="28"/>
                <w:szCs w:val="28"/>
                <w:lang w:val="en-US" w:eastAsia="zh-CN"/>
              </w:rPr>
              <w:t>岑  燕、孟  新、李钊文、赖德旺</w:t>
            </w:r>
          </w:p>
        </w:tc>
      </w:tr>
      <w:tr w14:paraId="7C08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7D7469E6">
            <w:pPr>
              <w:jc w:val="distribute"/>
              <w:rPr>
                <w:rFonts w:ascii="宋体" w:hAnsi="宋体" w:eastAsia="宋体"/>
                <w:sz w:val="28"/>
                <w:szCs w:val="28"/>
              </w:rPr>
            </w:pPr>
            <w:r>
              <w:rPr>
                <w:rFonts w:hint="eastAsia" w:ascii="宋体" w:hAnsi="宋体" w:eastAsia="宋体"/>
                <w:sz w:val="28"/>
                <w:szCs w:val="28"/>
              </w:rPr>
              <w:t>成果完成单位</w:t>
            </w:r>
          </w:p>
        </w:tc>
        <w:tc>
          <w:tcPr>
            <w:tcW w:w="5898" w:type="dxa"/>
            <w:noWrap w:val="0"/>
            <w:vAlign w:val="center"/>
          </w:tcPr>
          <w:p w14:paraId="599DF5FC">
            <w:pPr>
              <w:rPr>
                <w:rFonts w:hint="default" w:ascii="宋体" w:hAnsi="宋体" w:eastAsia="宋体"/>
                <w:sz w:val="28"/>
                <w:szCs w:val="28"/>
                <w:lang w:val="en-US" w:eastAsia="zh-CN"/>
              </w:rPr>
            </w:pPr>
            <w:r>
              <w:rPr>
                <w:rFonts w:hint="eastAsia" w:ascii="宋体" w:hAnsi="宋体" w:eastAsia="宋体"/>
                <w:sz w:val="28"/>
                <w:szCs w:val="28"/>
                <w:lang w:val="en-US" w:eastAsia="zh-CN"/>
              </w:rPr>
              <w:t>广西南宁技师学院、广西贺州西麦生物食品有限公司、柳州市柳南区和平养老院</w:t>
            </w:r>
          </w:p>
        </w:tc>
      </w:tr>
      <w:tr w14:paraId="48F0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034EE6CD">
            <w:pPr>
              <w:jc w:val="distribute"/>
              <w:rPr>
                <w:rFonts w:hint="eastAsia" w:ascii="宋体" w:hAnsi="宋体" w:eastAsia="宋体"/>
                <w:sz w:val="28"/>
                <w:szCs w:val="28"/>
              </w:rPr>
            </w:pPr>
            <w:r>
              <w:rPr>
                <w:rFonts w:hint="eastAsia" w:ascii="宋体" w:hAnsi="宋体" w:eastAsia="宋体"/>
                <w:sz w:val="28"/>
                <w:szCs w:val="28"/>
              </w:rPr>
              <w:t>成果来源</w:t>
            </w:r>
          </w:p>
        </w:tc>
        <w:tc>
          <w:tcPr>
            <w:tcW w:w="5898" w:type="dxa"/>
            <w:noWrap w:val="0"/>
            <w:vAlign w:val="center"/>
          </w:tcPr>
          <w:p w14:paraId="63D360CF">
            <w:pPr>
              <w:rPr>
                <w:rFonts w:ascii="仿宋_GB2312" w:hAnsi="仿宋_GB2312" w:eastAsia="宋体" w:cs="仿宋_GB2312"/>
                <w:sz w:val="28"/>
                <w:szCs w:val="32"/>
              </w:rPr>
            </w:pPr>
            <w:r>
              <w:rPr>
                <w:rFonts w:hint="eastAsia" w:ascii="仿宋_GB2312" w:hAnsi="仿宋_GB2312" w:eastAsia="宋体" w:cs="仿宋_GB2312"/>
                <w:sz w:val="28"/>
                <w:szCs w:val="32"/>
              </w:rPr>
              <w:t>□中职学校</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lang w:eastAsia="zh-CN"/>
              </w:rPr>
              <w:t>☑</w:t>
            </w:r>
            <w:r>
              <w:rPr>
                <w:rFonts w:hint="eastAsia" w:ascii="仿宋_GB2312" w:hAnsi="仿宋_GB2312" w:eastAsia="宋体" w:cs="仿宋_GB2312"/>
                <w:sz w:val="28"/>
                <w:szCs w:val="32"/>
              </w:rPr>
              <w:t>技工学校</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rPr>
              <w:t>□高职专科学校</w:t>
            </w:r>
          </w:p>
          <w:p w14:paraId="76BCA327">
            <w:pPr>
              <w:rPr>
                <w:rFonts w:ascii="仿宋_GB2312" w:hAnsi="仿宋_GB2312" w:eastAsia="宋体" w:cs="仿宋_GB2312"/>
                <w:sz w:val="28"/>
                <w:szCs w:val="32"/>
              </w:rPr>
            </w:pPr>
            <w:r>
              <w:rPr>
                <w:rFonts w:hint="eastAsia" w:ascii="仿宋_GB2312" w:hAnsi="仿宋_GB2312" w:eastAsia="宋体" w:cs="仿宋_GB2312"/>
                <w:sz w:val="28"/>
                <w:szCs w:val="32"/>
              </w:rPr>
              <w:t>□高职本科学校</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lang w:eastAsia="zh-CN"/>
              </w:rPr>
              <w:t>□</w:t>
            </w:r>
            <w:r>
              <w:rPr>
                <w:rFonts w:hint="eastAsia" w:ascii="仿宋_GB2312" w:hAnsi="仿宋_GB2312" w:eastAsia="宋体" w:cs="仿宋_GB2312"/>
                <w:sz w:val="28"/>
                <w:szCs w:val="32"/>
              </w:rPr>
              <w:t>普通高校</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lang w:eastAsia="zh-CN"/>
              </w:rPr>
              <w:t>□</w:t>
            </w:r>
            <w:r>
              <w:rPr>
                <w:rFonts w:hint="eastAsia" w:ascii="仿宋_GB2312" w:hAnsi="仿宋_GB2312" w:eastAsia="宋体" w:cs="仿宋_GB2312"/>
                <w:sz w:val="28"/>
                <w:szCs w:val="32"/>
              </w:rPr>
              <w:t>研究机构</w:t>
            </w:r>
          </w:p>
          <w:p w14:paraId="1347891B">
            <w:pPr>
              <w:rPr>
                <w:rFonts w:hint="eastAsia" w:ascii="宋体" w:hAnsi="宋体" w:eastAsia="宋体"/>
                <w:sz w:val="28"/>
                <w:szCs w:val="28"/>
              </w:rPr>
            </w:pPr>
            <w:r>
              <w:rPr>
                <w:rFonts w:hint="eastAsia" w:ascii="仿宋_GB2312" w:hAnsi="仿宋_GB2312" w:eastAsia="宋体" w:cs="仿宋_GB2312"/>
                <w:sz w:val="28"/>
                <w:szCs w:val="32"/>
              </w:rPr>
              <w:t>□其他</w:t>
            </w:r>
          </w:p>
        </w:tc>
      </w:tr>
      <w:tr w14:paraId="10D6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75E66421">
            <w:pPr>
              <w:jc w:val="distribute"/>
              <w:rPr>
                <w:rFonts w:hint="eastAsia" w:ascii="宋体" w:hAnsi="宋体" w:eastAsia="宋体"/>
                <w:sz w:val="28"/>
                <w:szCs w:val="28"/>
              </w:rPr>
            </w:pPr>
            <w:r>
              <w:rPr>
                <w:rFonts w:hint="eastAsia" w:ascii="宋体" w:hAnsi="宋体" w:eastAsia="宋体"/>
                <w:sz w:val="28"/>
                <w:szCs w:val="28"/>
              </w:rPr>
              <w:t>专业类别</w:t>
            </w:r>
          </w:p>
        </w:tc>
        <w:tc>
          <w:tcPr>
            <w:tcW w:w="5898" w:type="dxa"/>
            <w:noWrap w:val="0"/>
            <w:vAlign w:val="center"/>
          </w:tcPr>
          <w:p w14:paraId="457C9F95">
            <w:pPr>
              <w:rPr>
                <w:rFonts w:hint="default" w:ascii="仿宋_GB2312" w:hAnsi="仿宋_GB2312" w:eastAsia="宋体" w:cs="仿宋_GB2312"/>
                <w:sz w:val="21"/>
                <w:lang w:val="en-US" w:eastAsia="zh-CN"/>
              </w:rPr>
            </w:pPr>
            <w:r>
              <w:rPr>
                <w:rFonts w:hint="eastAsia" w:ascii="仿宋_GB2312" w:hAnsi="仿宋_GB2312" w:eastAsia="宋体" w:cs="仿宋_GB2312"/>
                <w:sz w:val="28"/>
                <w:szCs w:val="32"/>
                <w:lang w:val="en-US" w:eastAsia="zh-CN"/>
              </w:rPr>
              <w:t>其他</w:t>
            </w:r>
          </w:p>
        </w:tc>
      </w:tr>
      <w:tr w14:paraId="6E500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6A12C57C">
            <w:pPr>
              <w:jc w:val="distribute"/>
              <w:rPr>
                <w:rFonts w:hint="eastAsia" w:ascii="宋体" w:hAnsi="宋体" w:eastAsia="宋体"/>
                <w:sz w:val="28"/>
                <w:szCs w:val="28"/>
              </w:rPr>
            </w:pPr>
            <w:r>
              <w:rPr>
                <w:rFonts w:hint="eastAsia" w:ascii="宋体" w:hAnsi="宋体" w:eastAsia="宋体"/>
                <w:sz w:val="28"/>
                <w:szCs w:val="28"/>
              </w:rPr>
              <w:t>成果类别</w:t>
            </w:r>
          </w:p>
        </w:tc>
        <w:tc>
          <w:tcPr>
            <w:tcW w:w="5898" w:type="dxa"/>
            <w:noWrap w:val="0"/>
            <w:vAlign w:val="center"/>
          </w:tcPr>
          <w:p w14:paraId="486F4414">
            <w:pPr>
              <w:tabs>
                <w:tab w:val="left" w:pos="840"/>
              </w:tabs>
              <w:rPr>
                <w:rFonts w:hint="eastAsia" w:ascii="仿宋_GB2312" w:hAnsi="仿宋_GB2312" w:eastAsia="宋体" w:cs="仿宋_GB2312"/>
                <w:sz w:val="28"/>
                <w:szCs w:val="32"/>
                <w:lang w:eastAsia="zh-CN"/>
              </w:rPr>
            </w:pPr>
            <w:r>
              <w:rPr>
                <w:rFonts w:hint="eastAsia" w:ascii="仿宋_GB2312" w:hAnsi="仿宋_GB2312" w:eastAsia="宋体" w:cs="仿宋_GB2312"/>
                <w:sz w:val="28"/>
                <w:szCs w:val="32"/>
              </w:rPr>
              <w:t>□立德树人</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rPr>
              <w:t>□专业建设</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rPr>
              <w:t>□三教改革</w:t>
            </w:r>
          </w:p>
          <w:p w14:paraId="2F8D1FDB">
            <w:pPr>
              <w:tabs>
                <w:tab w:val="left" w:pos="840"/>
              </w:tabs>
              <w:rPr>
                <w:rFonts w:hint="eastAsia" w:ascii="仿宋_GB2312" w:hAnsi="仿宋_GB2312" w:eastAsia="宋体" w:cs="仿宋_GB2312"/>
                <w:sz w:val="28"/>
                <w:szCs w:val="32"/>
                <w:lang w:eastAsia="zh-CN"/>
              </w:rPr>
            </w:pPr>
            <w:r>
              <w:rPr>
                <w:rFonts w:hint="eastAsia" w:ascii="仿宋_GB2312" w:hAnsi="仿宋_GB2312" w:eastAsia="宋体" w:cs="仿宋_GB2312"/>
                <w:sz w:val="28"/>
                <w:szCs w:val="32"/>
                <w:lang w:eastAsia="zh-CN"/>
              </w:rPr>
              <w:t>☑</w:t>
            </w:r>
            <w:r>
              <w:rPr>
                <w:rFonts w:hint="eastAsia" w:ascii="仿宋_GB2312" w:hAnsi="仿宋_GB2312" w:eastAsia="宋体" w:cs="仿宋_GB2312"/>
                <w:sz w:val="28"/>
                <w:szCs w:val="32"/>
              </w:rPr>
              <w:t>育人模式</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lang w:eastAsia="zh-CN"/>
              </w:rPr>
              <w:t>□</w:t>
            </w:r>
            <w:r>
              <w:rPr>
                <w:rFonts w:hint="eastAsia" w:ascii="仿宋_GB2312" w:hAnsi="仿宋_GB2312" w:eastAsia="宋体" w:cs="仿宋_GB2312"/>
                <w:sz w:val="28"/>
                <w:szCs w:val="32"/>
              </w:rPr>
              <w:t>管理创新</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rPr>
              <w:t>□校企合作</w:t>
            </w:r>
          </w:p>
          <w:p w14:paraId="4AC28ADC">
            <w:pPr>
              <w:tabs>
                <w:tab w:val="left" w:pos="840"/>
              </w:tabs>
              <w:rPr>
                <w:rFonts w:hint="eastAsia" w:ascii="仿宋_GB2312" w:hAnsi="仿宋_GB2312" w:eastAsia="宋体" w:cs="仿宋_GB2312"/>
                <w:sz w:val="28"/>
                <w:szCs w:val="32"/>
                <w:lang w:eastAsia="zh-CN"/>
              </w:rPr>
            </w:pPr>
            <w:r>
              <w:rPr>
                <w:rFonts w:hint="eastAsia" w:ascii="仿宋_GB2312" w:hAnsi="仿宋_GB2312" w:eastAsia="宋体" w:cs="仿宋_GB2312"/>
                <w:sz w:val="28"/>
                <w:szCs w:val="32"/>
              </w:rPr>
              <w:t>□育训并举</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lang w:eastAsia="zh-CN"/>
              </w:rPr>
              <w:t>□</w:t>
            </w:r>
            <w:r>
              <w:rPr>
                <w:rFonts w:hint="eastAsia" w:ascii="仿宋_GB2312" w:hAnsi="仿宋_GB2312" w:eastAsia="宋体" w:cs="仿宋_GB2312"/>
                <w:sz w:val="28"/>
                <w:szCs w:val="32"/>
              </w:rPr>
              <w:t>质量评价</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rPr>
              <w:t>□综合改革</w:t>
            </w:r>
          </w:p>
          <w:p w14:paraId="0504078F">
            <w:pPr>
              <w:tabs>
                <w:tab w:val="left" w:pos="840"/>
              </w:tabs>
              <w:rPr>
                <w:rFonts w:hint="eastAsia" w:ascii="仿宋_GB2312" w:hAnsi="仿宋_GB2312" w:eastAsia="宋体" w:cs="仿宋_GB2312"/>
                <w:sz w:val="28"/>
                <w:szCs w:val="32"/>
              </w:rPr>
            </w:pPr>
            <w:r>
              <w:rPr>
                <w:rFonts w:hint="eastAsia" w:ascii="仿宋_GB2312" w:hAnsi="仿宋_GB2312" w:eastAsia="宋体" w:cs="仿宋_GB2312"/>
                <w:sz w:val="28"/>
                <w:szCs w:val="32"/>
              </w:rPr>
              <w:t>□教师培养培训</w:t>
            </w:r>
            <w:r>
              <w:rPr>
                <w:rFonts w:hint="eastAsia" w:ascii="仿宋_GB2312" w:hAnsi="仿宋_GB2312" w:eastAsia="宋体" w:cs="仿宋_GB2312"/>
                <w:sz w:val="28"/>
                <w:szCs w:val="32"/>
                <w:lang w:val="en-US" w:eastAsia="zh-CN"/>
              </w:rPr>
              <w:t xml:space="preserve"> </w:t>
            </w:r>
            <w:r>
              <w:rPr>
                <w:rFonts w:hint="eastAsia" w:ascii="仿宋_GB2312" w:hAnsi="仿宋_GB2312" w:eastAsia="宋体" w:cs="仿宋_GB2312"/>
                <w:sz w:val="28"/>
                <w:szCs w:val="32"/>
              </w:rPr>
              <w:t>□思政课改革</w:t>
            </w:r>
          </w:p>
        </w:tc>
      </w:tr>
      <w:tr w14:paraId="1298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15144C7E">
            <w:pPr>
              <w:jc w:val="distribute"/>
              <w:rPr>
                <w:rFonts w:hint="eastAsia" w:ascii="宋体" w:hAnsi="宋体" w:eastAsia="宋体"/>
                <w:sz w:val="28"/>
                <w:szCs w:val="28"/>
              </w:rPr>
            </w:pPr>
            <w:r>
              <w:rPr>
                <w:rFonts w:hint="eastAsia" w:ascii="宋体" w:hAnsi="宋体" w:eastAsia="宋体"/>
                <w:spacing w:val="-10"/>
                <w:sz w:val="28"/>
                <w:szCs w:val="28"/>
              </w:rPr>
              <w:t>本单位</w:t>
            </w:r>
            <w:r>
              <w:rPr>
                <w:rFonts w:ascii="宋体" w:hAnsi="宋体" w:eastAsia="宋体"/>
                <w:spacing w:val="-10"/>
                <w:sz w:val="28"/>
                <w:szCs w:val="28"/>
              </w:rPr>
              <w:t>推荐</w:t>
            </w:r>
            <w:r>
              <w:rPr>
                <w:rFonts w:hint="eastAsia" w:ascii="宋体" w:hAnsi="宋体" w:eastAsia="宋体"/>
                <w:spacing w:val="-10"/>
                <w:sz w:val="28"/>
                <w:szCs w:val="28"/>
              </w:rPr>
              <w:t>排序</w:t>
            </w:r>
          </w:p>
        </w:tc>
        <w:tc>
          <w:tcPr>
            <w:tcW w:w="5898" w:type="dxa"/>
            <w:noWrap w:val="0"/>
            <w:vAlign w:val="center"/>
          </w:tcPr>
          <w:p w14:paraId="3A6312A3">
            <w:pPr>
              <w:jc w:val="center"/>
              <w:rPr>
                <w:rFonts w:ascii="宋体" w:hAnsi="宋体" w:eastAsia="宋体"/>
                <w:sz w:val="28"/>
                <w:szCs w:val="28"/>
              </w:rPr>
            </w:pPr>
          </w:p>
        </w:tc>
      </w:tr>
      <w:tr w14:paraId="06AC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21D97CF6">
            <w:pPr>
              <w:jc w:val="distribute"/>
              <w:rPr>
                <w:rFonts w:ascii="宋体" w:hAnsi="宋体" w:eastAsia="宋体"/>
                <w:sz w:val="28"/>
                <w:szCs w:val="28"/>
              </w:rPr>
            </w:pPr>
            <w:r>
              <w:rPr>
                <w:rFonts w:hint="eastAsia" w:ascii="宋体" w:hAnsi="宋体" w:eastAsia="宋体"/>
                <w:sz w:val="28"/>
                <w:szCs w:val="28"/>
              </w:rPr>
              <w:t>推荐单位（盖章）</w:t>
            </w:r>
          </w:p>
        </w:tc>
        <w:tc>
          <w:tcPr>
            <w:tcW w:w="5898" w:type="dxa"/>
            <w:noWrap w:val="0"/>
            <w:vAlign w:val="center"/>
          </w:tcPr>
          <w:p w14:paraId="2DB8C9A8">
            <w:pPr>
              <w:jc w:val="center"/>
              <w:rPr>
                <w:rFonts w:ascii="宋体" w:hAnsi="宋体" w:eastAsia="宋体"/>
                <w:sz w:val="28"/>
                <w:szCs w:val="28"/>
              </w:rPr>
            </w:pPr>
          </w:p>
        </w:tc>
      </w:tr>
      <w:tr w14:paraId="28F7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835" w:type="dxa"/>
            <w:noWrap w:val="0"/>
            <w:vAlign w:val="center"/>
          </w:tcPr>
          <w:p w14:paraId="5FD034FC">
            <w:pPr>
              <w:jc w:val="distribute"/>
              <w:rPr>
                <w:rFonts w:ascii="宋体" w:hAnsi="宋体" w:eastAsia="宋体"/>
                <w:sz w:val="28"/>
                <w:szCs w:val="28"/>
              </w:rPr>
            </w:pPr>
            <w:r>
              <w:rPr>
                <w:rFonts w:ascii="宋体" w:hAnsi="宋体" w:eastAsia="宋体"/>
                <w:sz w:val="28"/>
                <w:szCs w:val="28"/>
              </w:rPr>
              <w:t>推荐时间</w:t>
            </w:r>
          </w:p>
        </w:tc>
        <w:tc>
          <w:tcPr>
            <w:tcW w:w="5898" w:type="dxa"/>
            <w:noWrap w:val="0"/>
            <w:vAlign w:val="center"/>
          </w:tcPr>
          <w:p w14:paraId="0035F2C1">
            <w:pPr>
              <w:jc w:val="center"/>
              <w:rPr>
                <w:rFonts w:ascii="宋体" w:hAnsi="宋体" w:eastAsia="宋体"/>
                <w:sz w:val="28"/>
                <w:szCs w:val="28"/>
              </w:rPr>
            </w:pPr>
            <w:r>
              <w:rPr>
                <w:rFonts w:hint="eastAsia" w:ascii="宋体" w:hAnsi="宋体" w:eastAsia="宋体"/>
                <w:sz w:val="28"/>
                <w:szCs w:val="28"/>
                <w:u w:val="single"/>
                <w:lang w:val="en-US" w:eastAsia="zh-CN"/>
              </w:rPr>
              <w:t>2025</w:t>
            </w:r>
            <w:r>
              <w:rPr>
                <w:rFonts w:hint="eastAsia" w:ascii="宋体" w:hAnsi="宋体" w:eastAsia="宋体"/>
                <w:sz w:val="28"/>
                <w:szCs w:val="28"/>
              </w:rPr>
              <w:t>年</w:t>
            </w:r>
            <w:r>
              <w:rPr>
                <w:rFonts w:hint="eastAsia" w:ascii="宋体" w:hAnsi="宋体" w:eastAsia="宋体"/>
                <w:sz w:val="28"/>
                <w:szCs w:val="28"/>
                <w:u w:val="single"/>
                <w:lang w:val="en-US" w:eastAsia="zh-CN"/>
              </w:rPr>
              <w:t>9</w:t>
            </w:r>
            <w:r>
              <w:rPr>
                <w:rFonts w:hint="eastAsia" w:ascii="宋体" w:hAnsi="宋体" w:eastAsia="宋体"/>
                <w:sz w:val="28"/>
                <w:szCs w:val="28"/>
              </w:rPr>
              <w:t>月</w:t>
            </w:r>
            <w:r>
              <w:rPr>
                <w:rFonts w:hint="eastAsia" w:ascii="宋体" w:hAnsi="宋体" w:eastAsia="宋体"/>
                <w:sz w:val="28"/>
                <w:szCs w:val="28"/>
                <w:u w:val="single"/>
                <w:lang w:val="en-US" w:eastAsia="zh-CN"/>
              </w:rPr>
              <w:t>1</w:t>
            </w:r>
            <w:r>
              <w:rPr>
                <w:rFonts w:hint="eastAsia" w:ascii="宋体" w:hAnsi="宋体" w:eastAsia="宋体"/>
                <w:sz w:val="28"/>
                <w:szCs w:val="28"/>
              </w:rPr>
              <w:t>日</w:t>
            </w:r>
          </w:p>
        </w:tc>
      </w:tr>
    </w:tbl>
    <w:p w14:paraId="49910858">
      <w:pPr>
        <w:rPr>
          <w:rFonts w:ascii="仿宋_GB2312" w:eastAsia="仿宋_GB2312"/>
          <w:sz w:val="30"/>
          <w:szCs w:val="30"/>
        </w:rPr>
      </w:pPr>
    </w:p>
    <w:p w14:paraId="26F3328A">
      <w:pPr>
        <w:jc w:val="center"/>
        <w:rPr>
          <w:rFonts w:hint="eastAsia" w:ascii="楷体" w:hAnsi="楷体" w:eastAsia="楷体"/>
          <w:szCs w:val="32"/>
        </w:rPr>
      </w:pPr>
      <w:r>
        <w:rPr>
          <w:rFonts w:hint="eastAsia" w:ascii="楷体" w:hAnsi="楷体" w:eastAsia="楷体"/>
          <w:szCs w:val="32"/>
        </w:rPr>
        <w:t>广西壮族自治区教育厅</w:t>
      </w:r>
    </w:p>
    <w:p w14:paraId="53F3744E">
      <w:pPr>
        <w:jc w:val="center"/>
        <w:rPr>
          <w:rFonts w:hint="eastAsia" w:ascii="楷体" w:hAnsi="楷体" w:eastAsia="楷体"/>
          <w:szCs w:val="32"/>
        </w:rPr>
      </w:pPr>
      <w:r>
        <w:rPr>
          <w:rFonts w:hint="eastAsia" w:ascii="楷体" w:hAnsi="楷体" w:eastAsia="楷体"/>
          <w:szCs w:val="32"/>
        </w:rPr>
        <w:t>广西壮族自治区人力资源和社会保障厅</w:t>
      </w:r>
    </w:p>
    <w:p w14:paraId="582FF587">
      <w:pPr>
        <w:snapToGrid w:val="0"/>
        <w:jc w:val="center"/>
        <w:rPr>
          <w:rFonts w:ascii="Arial Unicode MS" w:hAnsi="Arial Unicode MS" w:eastAsia="Arial Unicode MS" w:cs="Arial Unicode MS"/>
          <w:sz w:val="44"/>
          <w:szCs w:val="44"/>
        </w:rPr>
      </w:pPr>
      <w:r>
        <w:rPr>
          <w:rFonts w:ascii="楷体" w:hAnsi="楷体" w:eastAsia="楷体"/>
          <w:szCs w:val="32"/>
        </w:rPr>
        <w:br w:type="page"/>
      </w:r>
      <w:r>
        <w:rPr>
          <w:rFonts w:hint="eastAsia" w:ascii="方正小标宋简体" w:hAnsi="方正小标宋简体" w:eastAsia="方正小标宋简体" w:cs="方正小标宋简体"/>
          <w:sz w:val="44"/>
          <w:szCs w:val="44"/>
        </w:rPr>
        <w:t>承诺书</w:t>
      </w:r>
    </w:p>
    <w:p w14:paraId="05F04551">
      <w:pPr>
        <w:ind w:firstLine="640" w:firstLineChars="200"/>
        <w:rPr>
          <w:rFonts w:ascii="仿宋_GB2312" w:eastAsia="宋体"/>
          <w:szCs w:val="32"/>
        </w:rPr>
      </w:pPr>
    </w:p>
    <w:p w14:paraId="2190F567">
      <w:pPr>
        <w:spacing w:line="560" w:lineRule="exact"/>
        <w:ind w:firstLine="640" w:firstLineChars="200"/>
        <w:rPr>
          <w:szCs w:val="32"/>
        </w:rPr>
      </w:pPr>
      <w:r>
        <w:rPr>
          <w:szCs w:val="32"/>
        </w:rPr>
        <w:t>本人申报2025年广西职业教育自治区级教学成果等次，郑重承诺：</w:t>
      </w:r>
    </w:p>
    <w:p w14:paraId="057B7203">
      <w:pPr>
        <w:spacing w:line="560" w:lineRule="exact"/>
        <w:ind w:firstLine="640" w:firstLineChars="200"/>
        <w:rPr>
          <w:szCs w:val="32"/>
        </w:rPr>
      </w:pPr>
      <w:r>
        <w:rPr>
          <w:szCs w:val="32"/>
        </w:rPr>
        <w:t>1</w:t>
      </w:r>
      <w:r>
        <w:rPr>
          <w:szCs w:val="32"/>
          <w:lang w:val="en"/>
        </w:rPr>
        <w:t>.</w:t>
      </w:r>
      <w:r>
        <w:rPr>
          <w:szCs w:val="32"/>
        </w:rPr>
        <w:t>对填写的各项内容负责，成果申报材料真实、可靠，不存在知识产权争议，未弄虚作假、未剽窃他人成果。</w:t>
      </w:r>
    </w:p>
    <w:p w14:paraId="72A6B5E5">
      <w:pPr>
        <w:spacing w:line="560" w:lineRule="exact"/>
        <w:ind w:firstLine="640" w:firstLineChars="200"/>
        <w:rPr>
          <w:szCs w:val="32"/>
        </w:rPr>
      </w:pPr>
      <w:r>
        <w:rPr>
          <w:szCs w:val="32"/>
        </w:rPr>
        <w:t>2</w:t>
      </w:r>
      <w:r>
        <w:rPr>
          <w:szCs w:val="32"/>
          <w:lang w:val="en"/>
        </w:rPr>
        <w:t>.</w:t>
      </w:r>
      <w:r>
        <w:rPr>
          <w:szCs w:val="32"/>
        </w:rPr>
        <w:t>成果奖评审工作期间，不拉关系、不打招呼、不送礼品礼金，不以任何形式干扰成果评定工作。同时，对本成果的其他完成人提醒到位，如有违反上述规定的情况，接受取消参评资格的处理。</w:t>
      </w:r>
    </w:p>
    <w:p w14:paraId="100B2A51">
      <w:pPr>
        <w:spacing w:line="560" w:lineRule="exact"/>
        <w:ind w:firstLine="640" w:firstLineChars="200"/>
        <w:rPr>
          <w:szCs w:val="32"/>
        </w:rPr>
      </w:pPr>
      <w:r>
        <w:rPr>
          <w:szCs w:val="32"/>
        </w:rPr>
        <w:t>3</w:t>
      </w:r>
      <w:r>
        <w:rPr>
          <w:szCs w:val="32"/>
          <w:lang w:val="en"/>
        </w:rPr>
        <w:t>.</w:t>
      </w:r>
      <w:r>
        <w:rPr>
          <w:szCs w:val="32"/>
        </w:rPr>
        <w:t>成果获得等次后，不以盈利为目的开展宣传、培训、推广等相关活动。</w:t>
      </w:r>
    </w:p>
    <w:p w14:paraId="473F657E">
      <w:pPr>
        <w:spacing w:line="560" w:lineRule="exact"/>
        <w:ind w:firstLine="480" w:firstLineChars="200"/>
        <w:rPr>
          <w:szCs w:val="32"/>
        </w:rPr>
      </w:pPr>
      <w:r>
        <w:rPr>
          <w:rFonts w:hint="eastAsia" w:ascii="宋体" w:hAnsi="宋体" w:eastAsia="宋体"/>
          <w:sz w:val="24"/>
          <w:szCs w:val="24"/>
          <w:lang w:eastAsia="zh-CN"/>
        </w:rPr>
        <w:drawing>
          <wp:anchor distT="0" distB="0" distL="114300" distR="114300" simplePos="0" relativeHeight="251664384" behindDoc="0" locked="0" layoutInCell="1" allowOverlap="1">
            <wp:simplePos x="0" y="0"/>
            <wp:positionH relativeFrom="column">
              <wp:posOffset>2838450</wp:posOffset>
            </wp:positionH>
            <wp:positionV relativeFrom="paragraph">
              <wp:posOffset>43180</wp:posOffset>
            </wp:positionV>
            <wp:extent cx="1435735" cy="816610"/>
            <wp:effectExtent l="0" t="0" r="0" b="0"/>
            <wp:wrapNone/>
            <wp:docPr id="6" name="图片 6" descr="陈建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陈建霞(1)"/>
                    <pic:cNvPicPr>
                      <a:picLocks noChangeAspect="1"/>
                    </pic:cNvPicPr>
                  </pic:nvPicPr>
                  <pic:blipFill>
                    <a:blip r:embed="rId4"/>
                    <a:stretch>
                      <a:fillRect/>
                    </a:stretch>
                  </pic:blipFill>
                  <pic:spPr>
                    <a:xfrm>
                      <a:off x="0" y="0"/>
                      <a:ext cx="1435735" cy="816610"/>
                    </a:xfrm>
                    <a:prstGeom prst="rect">
                      <a:avLst/>
                    </a:prstGeom>
                  </pic:spPr>
                </pic:pic>
              </a:graphicData>
            </a:graphic>
          </wp:anchor>
        </w:drawing>
      </w:r>
    </w:p>
    <w:p w14:paraId="76759EA0">
      <w:pPr>
        <w:spacing w:line="240" w:lineRule="auto"/>
        <w:ind w:firstLine="640" w:firstLineChars="200"/>
        <w:rPr>
          <w:rFonts w:hint="eastAsia" w:eastAsia="仿宋"/>
          <w:szCs w:val="32"/>
          <w:u w:val="single"/>
          <w:lang w:val="en-US" w:eastAsia="zh-CN"/>
        </w:rPr>
      </w:pPr>
      <w:r>
        <w:rPr>
          <w:szCs w:val="32"/>
        </w:rPr>
        <w:t>成果第一完成人（签字）：</w:t>
      </w:r>
    </w:p>
    <w:p w14:paraId="4F1823E6">
      <w:pPr>
        <w:spacing w:line="560" w:lineRule="exact"/>
        <w:ind w:firstLine="640" w:firstLineChars="200"/>
        <w:rPr>
          <w:szCs w:val="32"/>
        </w:rPr>
      </w:pPr>
    </w:p>
    <w:p w14:paraId="72BC8A34">
      <w:pPr>
        <w:spacing w:line="560" w:lineRule="exact"/>
        <w:ind w:firstLine="5760" w:firstLineChars="1800"/>
        <w:rPr>
          <w:rFonts w:hint="eastAsia" w:eastAsia="仿宋"/>
          <w:szCs w:val="32"/>
          <w:lang w:eastAsia="zh-CN"/>
        </w:rPr>
      </w:pPr>
      <w:r>
        <w:rPr>
          <w:rFonts w:hint="eastAsia"/>
          <w:szCs w:val="32"/>
          <w:lang w:val="en-US" w:eastAsia="zh-CN"/>
        </w:rPr>
        <w:t>2025</w:t>
      </w:r>
      <w:r>
        <w:rPr>
          <w:szCs w:val="32"/>
        </w:rPr>
        <w:t>年</w:t>
      </w:r>
      <w:r>
        <w:rPr>
          <w:rFonts w:hint="eastAsia"/>
          <w:szCs w:val="32"/>
          <w:lang w:val="en-US" w:eastAsia="zh-CN"/>
        </w:rPr>
        <w:t>9</w:t>
      </w:r>
      <w:r>
        <w:rPr>
          <w:szCs w:val="32"/>
        </w:rPr>
        <w:t>月</w:t>
      </w:r>
      <w:r>
        <w:rPr>
          <w:rFonts w:hint="eastAsia"/>
          <w:szCs w:val="32"/>
          <w:lang w:val="en-US" w:eastAsia="zh-CN"/>
        </w:rPr>
        <w:t>1</w:t>
      </w:r>
      <w:r>
        <w:rPr>
          <w:szCs w:val="32"/>
        </w:rPr>
        <w:t>日</w:t>
      </w:r>
    </w:p>
    <w:p w14:paraId="6BBA4B29">
      <w:pPr>
        <w:spacing w:line="560" w:lineRule="exact"/>
        <w:ind w:firstLine="640" w:firstLineChars="200"/>
        <w:rPr>
          <w:rFonts w:hint="eastAsia" w:ascii="仿宋" w:hAnsi="仿宋"/>
          <w:szCs w:val="32"/>
        </w:rPr>
      </w:pPr>
    </w:p>
    <w:p w14:paraId="65CCA104">
      <w:pPr>
        <w:jc w:val="center"/>
        <w:rPr>
          <w:rFonts w:ascii="仿宋" w:hAnsi="仿宋"/>
          <w:szCs w:val="32"/>
        </w:rPr>
        <w:sectPr>
          <w:pgSz w:w="11906" w:h="16838"/>
          <w:pgMar w:top="2098" w:right="1474" w:bottom="1984" w:left="1587" w:header="851" w:footer="1559" w:gutter="0"/>
          <w:cols w:space="720" w:num="1"/>
          <w:titlePg/>
          <w:docGrid w:linePitch="312" w:charSpace="0"/>
        </w:sectPr>
      </w:pPr>
    </w:p>
    <w:p w14:paraId="73F52B31">
      <w:pPr>
        <w:jc w:val="center"/>
        <w:rPr>
          <w:rFonts w:hint="eastAsia" w:ascii="黑体" w:hAnsi="黑体" w:eastAsia="黑体"/>
          <w:szCs w:val="32"/>
        </w:rPr>
      </w:pPr>
      <w:r>
        <w:rPr>
          <w:rFonts w:hint="eastAsia" w:ascii="黑体" w:hAnsi="黑体" w:eastAsia="黑体"/>
          <w:szCs w:val="32"/>
        </w:rPr>
        <w:t>一、成果简介</w:t>
      </w:r>
    </w:p>
    <w:tbl>
      <w:tblPr>
        <w:tblStyle w:val="5"/>
        <w:tblW w:w="91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02"/>
        <w:gridCol w:w="1383"/>
        <w:gridCol w:w="3260"/>
        <w:gridCol w:w="1166"/>
        <w:gridCol w:w="2216"/>
      </w:tblGrid>
      <w:tr w14:paraId="434C8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restart"/>
            <w:noWrap w:val="0"/>
            <w:vAlign w:val="center"/>
          </w:tcPr>
          <w:p w14:paraId="0C86F131">
            <w:pPr>
              <w:ind w:left="27"/>
              <w:jc w:val="center"/>
              <w:rPr>
                <w:rFonts w:hint="default" w:ascii="宋体" w:hAnsi="宋体" w:eastAsia="宋体"/>
                <w:sz w:val="24"/>
                <w:szCs w:val="24"/>
                <w:lang w:val="en-US" w:eastAsia="zh-CN"/>
              </w:rPr>
            </w:pPr>
            <w:r>
              <w:rPr>
                <w:rFonts w:hint="eastAsia" w:ascii="宋体" w:hAnsi="宋体" w:eastAsia="宋体"/>
                <w:sz w:val="24"/>
                <w:szCs w:val="24"/>
              </w:rPr>
              <w:t>成</w:t>
            </w:r>
          </w:p>
          <w:p w14:paraId="2E42AF97">
            <w:pPr>
              <w:ind w:left="27"/>
              <w:jc w:val="center"/>
              <w:rPr>
                <w:rFonts w:hint="eastAsia" w:ascii="宋体" w:hAnsi="宋体" w:eastAsia="宋体"/>
                <w:sz w:val="24"/>
                <w:szCs w:val="24"/>
              </w:rPr>
            </w:pPr>
            <w:r>
              <w:rPr>
                <w:rFonts w:hint="eastAsia" w:ascii="宋体" w:hAnsi="宋体" w:eastAsia="宋体"/>
                <w:sz w:val="24"/>
                <w:szCs w:val="24"/>
              </w:rPr>
              <w:t>果</w:t>
            </w:r>
          </w:p>
          <w:p w14:paraId="398BD11F">
            <w:pPr>
              <w:ind w:left="27"/>
              <w:jc w:val="center"/>
              <w:rPr>
                <w:rFonts w:hint="eastAsia" w:ascii="宋体" w:hAnsi="宋体" w:eastAsia="宋体"/>
                <w:sz w:val="24"/>
                <w:szCs w:val="24"/>
              </w:rPr>
            </w:pPr>
            <w:r>
              <w:rPr>
                <w:rFonts w:hint="eastAsia" w:ascii="宋体" w:hAnsi="宋体" w:eastAsia="宋体"/>
                <w:sz w:val="24"/>
                <w:szCs w:val="24"/>
              </w:rPr>
              <w:t>曾</w:t>
            </w:r>
          </w:p>
          <w:p w14:paraId="333F787F">
            <w:pPr>
              <w:jc w:val="center"/>
              <w:rPr>
                <w:rFonts w:hint="eastAsia" w:ascii="宋体" w:hAnsi="宋体" w:eastAsia="宋体"/>
                <w:sz w:val="24"/>
                <w:szCs w:val="24"/>
              </w:rPr>
            </w:pPr>
            <w:r>
              <w:rPr>
                <w:rFonts w:hint="eastAsia" w:ascii="宋体" w:hAnsi="宋体" w:eastAsia="宋体"/>
                <w:sz w:val="24"/>
                <w:szCs w:val="24"/>
              </w:rPr>
              <w:t>获</w:t>
            </w:r>
          </w:p>
          <w:p w14:paraId="3BB18893">
            <w:pPr>
              <w:jc w:val="center"/>
              <w:rPr>
                <w:rFonts w:hint="eastAsia" w:ascii="宋体" w:hAnsi="宋体" w:eastAsia="宋体"/>
                <w:sz w:val="24"/>
                <w:szCs w:val="24"/>
              </w:rPr>
            </w:pPr>
            <w:r>
              <w:rPr>
                <w:rFonts w:hint="eastAsia" w:ascii="宋体" w:hAnsi="宋体" w:eastAsia="宋体"/>
                <w:sz w:val="24"/>
                <w:szCs w:val="24"/>
              </w:rPr>
              <w:t>奖</w:t>
            </w:r>
          </w:p>
          <w:p w14:paraId="38D0DA66">
            <w:pPr>
              <w:jc w:val="center"/>
              <w:rPr>
                <w:rFonts w:hint="eastAsia" w:ascii="宋体" w:hAnsi="宋体" w:eastAsia="宋体"/>
                <w:sz w:val="24"/>
                <w:szCs w:val="24"/>
              </w:rPr>
            </w:pPr>
            <w:r>
              <w:rPr>
                <w:rFonts w:hint="eastAsia" w:ascii="宋体" w:hAnsi="宋体" w:eastAsia="宋体"/>
                <w:sz w:val="24"/>
                <w:szCs w:val="24"/>
              </w:rPr>
              <w:t>励</w:t>
            </w:r>
          </w:p>
          <w:p w14:paraId="1CE2B25A">
            <w:pPr>
              <w:ind w:left="27"/>
              <w:jc w:val="center"/>
              <w:rPr>
                <w:rFonts w:hint="eastAsia" w:ascii="宋体" w:hAnsi="宋体" w:eastAsia="宋体"/>
                <w:sz w:val="24"/>
                <w:szCs w:val="24"/>
              </w:rPr>
            </w:pPr>
            <w:r>
              <w:rPr>
                <w:rFonts w:hint="eastAsia" w:ascii="宋体" w:hAnsi="宋体" w:eastAsia="宋体"/>
                <w:sz w:val="24"/>
                <w:szCs w:val="24"/>
              </w:rPr>
              <w:t>情</w:t>
            </w:r>
          </w:p>
          <w:p w14:paraId="32A8D3DE">
            <w:pPr>
              <w:ind w:left="27"/>
              <w:jc w:val="center"/>
              <w:rPr>
                <w:rFonts w:hint="eastAsia" w:ascii="宋体" w:hAnsi="宋体" w:eastAsia="宋体"/>
                <w:sz w:val="24"/>
                <w:szCs w:val="24"/>
              </w:rPr>
            </w:pPr>
            <w:r>
              <w:rPr>
                <w:rFonts w:hint="eastAsia" w:ascii="宋体" w:hAnsi="宋体" w:eastAsia="宋体"/>
                <w:sz w:val="24"/>
                <w:szCs w:val="24"/>
              </w:rPr>
              <w:t>况</w:t>
            </w:r>
          </w:p>
        </w:tc>
        <w:tc>
          <w:tcPr>
            <w:tcW w:w="1383" w:type="dxa"/>
            <w:noWrap w:val="0"/>
            <w:vAlign w:val="center"/>
          </w:tcPr>
          <w:p w14:paraId="38B5A206">
            <w:pPr>
              <w:jc w:val="center"/>
              <w:rPr>
                <w:rFonts w:hint="eastAsia" w:ascii="宋体" w:hAnsi="宋体" w:eastAsia="宋体"/>
                <w:sz w:val="24"/>
                <w:szCs w:val="24"/>
              </w:rPr>
            </w:pPr>
            <w:r>
              <w:rPr>
                <w:rFonts w:hint="eastAsia" w:ascii="宋体" w:hAnsi="宋体" w:eastAsia="宋体"/>
                <w:sz w:val="24"/>
                <w:szCs w:val="24"/>
              </w:rPr>
              <w:t>获奖</w:t>
            </w:r>
          </w:p>
          <w:p w14:paraId="7A678585">
            <w:pPr>
              <w:jc w:val="center"/>
              <w:rPr>
                <w:rFonts w:hint="eastAsia" w:ascii="宋体" w:hAnsi="宋体" w:eastAsia="宋体"/>
                <w:sz w:val="24"/>
                <w:szCs w:val="24"/>
              </w:rPr>
            </w:pPr>
            <w:r>
              <w:rPr>
                <w:rFonts w:hint="eastAsia" w:ascii="宋体" w:hAnsi="宋体" w:eastAsia="宋体"/>
                <w:sz w:val="24"/>
                <w:szCs w:val="24"/>
              </w:rPr>
              <w:t>年月</w:t>
            </w:r>
          </w:p>
        </w:tc>
        <w:tc>
          <w:tcPr>
            <w:tcW w:w="3260" w:type="dxa"/>
            <w:noWrap w:val="0"/>
            <w:vAlign w:val="center"/>
          </w:tcPr>
          <w:p w14:paraId="0BFAA226">
            <w:pPr>
              <w:jc w:val="center"/>
              <w:rPr>
                <w:rFonts w:hint="eastAsia" w:ascii="宋体" w:hAnsi="宋体" w:eastAsia="宋体"/>
                <w:sz w:val="24"/>
                <w:szCs w:val="24"/>
              </w:rPr>
            </w:pPr>
            <w:r>
              <w:rPr>
                <w:rFonts w:hint="eastAsia" w:ascii="宋体" w:hAnsi="宋体" w:eastAsia="宋体"/>
                <w:sz w:val="24"/>
                <w:szCs w:val="24"/>
              </w:rPr>
              <w:t>所获奖项名称</w:t>
            </w:r>
          </w:p>
        </w:tc>
        <w:tc>
          <w:tcPr>
            <w:tcW w:w="1166" w:type="dxa"/>
            <w:noWrap w:val="0"/>
            <w:vAlign w:val="center"/>
          </w:tcPr>
          <w:p w14:paraId="57C4415D">
            <w:pPr>
              <w:jc w:val="center"/>
              <w:rPr>
                <w:rFonts w:hint="eastAsia" w:ascii="宋体" w:hAnsi="宋体" w:eastAsia="宋体"/>
                <w:sz w:val="24"/>
                <w:szCs w:val="24"/>
              </w:rPr>
            </w:pPr>
            <w:r>
              <w:rPr>
                <w:rFonts w:hint="eastAsia" w:ascii="宋体" w:hAnsi="宋体" w:eastAsia="宋体"/>
                <w:sz w:val="24"/>
                <w:szCs w:val="24"/>
              </w:rPr>
              <w:t>获奖</w:t>
            </w:r>
          </w:p>
          <w:p w14:paraId="748DD04C">
            <w:pPr>
              <w:jc w:val="center"/>
              <w:rPr>
                <w:rFonts w:hint="eastAsia" w:ascii="宋体" w:hAnsi="宋体" w:eastAsia="宋体"/>
                <w:sz w:val="24"/>
                <w:szCs w:val="24"/>
              </w:rPr>
            </w:pPr>
            <w:r>
              <w:rPr>
                <w:rFonts w:hint="eastAsia" w:ascii="宋体" w:hAnsi="宋体" w:eastAsia="宋体"/>
                <w:sz w:val="24"/>
                <w:szCs w:val="24"/>
              </w:rPr>
              <w:t>等级</w:t>
            </w:r>
          </w:p>
        </w:tc>
        <w:tc>
          <w:tcPr>
            <w:tcW w:w="2216" w:type="dxa"/>
            <w:noWrap w:val="0"/>
            <w:vAlign w:val="center"/>
          </w:tcPr>
          <w:p w14:paraId="7D0B657B">
            <w:pPr>
              <w:jc w:val="center"/>
              <w:rPr>
                <w:rFonts w:hint="eastAsia" w:ascii="宋体" w:hAnsi="宋体" w:eastAsia="宋体"/>
                <w:sz w:val="24"/>
                <w:szCs w:val="24"/>
              </w:rPr>
            </w:pPr>
            <w:r>
              <w:rPr>
                <w:rFonts w:hint="eastAsia" w:ascii="宋体" w:hAnsi="宋体" w:eastAsia="宋体"/>
                <w:sz w:val="24"/>
                <w:szCs w:val="24"/>
              </w:rPr>
              <w:t>授奖</w:t>
            </w:r>
          </w:p>
          <w:p w14:paraId="2141587A">
            <w:pPr>
              <w:jc w:val="center"/>
              <w:rPr>
                <w:rFonts w:hint="eastAsia" w:ascii="宋体" w:hAnsi="宋体" w:eastAsia="宋体"/>
                <w:sz w:val="24"/>
                <w:szCs w:val="24"/>
              </w:rPr>
            </w:pPr>
            <w:r>
              <w:rPr>
                <w:rFonts w:hint="eastAsia" w:ascii="宋体" w:hAnsi="宋体" w:eastAsia="宋体"/>
                <w:sz w:val="24"/>
                <w:szCs w:val="24"/>
              </w:rPr>
              <w:t>部门</w:t>
            </w:r>
          </w:p>
        </w:tc>
      </w:tr>
      <w:tr w14:paraId="062CFA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32060263">
            <w:pPr>
              <w:ind w:left="27"/>
              <w:jc w:val="center"/>
              <w:rPr>
                <w:rFonts w:hint="eastAsia" w:ascii="宋体" w:hAnsi="宋体" w:eastAsia="宋体"/>
                <w:sz w:val="24"/>
                <w:szCs w:val="24"/>
              </w:rPr>
            </w:pPr>
          </w:p>
        </w:tc>
        <w:tc>
          <w:tcPr>
            <w:tcW w:w="8025" w:type="dxa"/>
            <w:gridSpan w:val="4"/>
            <w:noWrap w:val="0"/>
            <w:vAlign w:val="center"/>
          </w:tcPr>
          <w:p w14:paraId="24B1C087">
            <w:pPr>
              <w:jc w:val="center"/>
              <w:rPr>
                <w:rFonts w:hint="default" w:ascii="宋体" w:hAnsi="宋体" w:eastAsia="宋体"/>
                <w:sz w:val="24"/>
                <w:szCs w:val="24"/>
                <w:lang w:val="en-US" w:eastAsia="zh-CN"/>
              </w:rPr>
            </w:pPr>
            <w:r>
              <w:rPr>
                <w:rFonts w:hint="eastAsia" w:ascii="宋体" w:hAnsi="宋体" w:eastAsia="宋体"/>
                <w:b/>
                <w:bCs/>
                <w:sz w:val="24"/>
                <w:szCs w:val="24"/>
                <w:lang w:val="en-US" w:eastAsia="zh-CN"/>
              </w:rPr>
              <w:t>项目获奖</w:t>
            </w:r>
          </w:p>
        </w:tc>
      </w:tr>
      <w:tr w14:paraId="4D9FE9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2C44661">
            <w:pPr>
              <w:ind w:left="27"/>
              <w:jc w:val="center"/>
              <w:rPr>
                <w:rFonts w:hint="eastAsia" w:ascii="宋体" w:hAnsi="宋体" w:eastAsia="宋体"/>
                <w:sz w:val="24"/>
                <w:szCs w:val="24"/>
              </w:rPr>
            </w:pPr>
          </w:p>
        </w:tc>
        <w:tc>
          <w:tcPr>
            <w:tcW w:w="1383" w:type="dxa"/>
            <w:noWrap w:val="0"/>
            <w:vAlign w:val="center"/>
          </w:tcPr>
          <w:p w14:paraId="4C4D9B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2012年</w:t>
            </w:r>
          </w:p>
        </w:tc>
        <w:tc>
          <w:tcPr>
            <w:tcW w:w="3260" w:type="dxa"/>
            <w:noWrap w:val="0"/>
            <w:vAlign w:val="center"/>
          </w:tcPr>
          <w:p w14:paraId="5F6642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国家级高技能人才培训基地</w:t>
            </w:r>
          </w:p>
        </w:tc>
        <w:tc>
          <w:tcPr>
            <w:tcW w:w="1166" w:type="dxa"/>
            <w:noWrap w:val="0"/>
            <w:vAlign w:val="center"/>
          </w:tcPr>
          <w:p w14:paraId="1D05F1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国家级</w:t>
            </w:r>
          </w:p>
        </w:tc>
        <w:tc>
          <w:tcPr>
            <w:tcW w:w="2216" w:type="dxa"/>
            <w:noWrap w:val="0"/>
            <w:vAlign w:val="center"/>
          </w:tcPr>
          <w:p w14:paraId="63B42B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人力资源和社会保障部</w:t>
            </w:r>
          </w:p>
        </w:tc>
      </w:tr>
      <w:tr w14:paraId="745326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5E3E656">
            <w:pPr>
              <w:ind w:left="27"/>
              <w:jc w:val="center"/>
              <w:rPr>
                <w:rFonts w:hint="eastAsia" w:ascii="宋体" w:hAnsi="宋体" w:eastAsia="宋体"/>
                <w:sz w:val="24"/>
                <w:szCs w:val="24"/>
              </w:rPr>
            </w:pPr>
          </w:p>
        </w:tc>
        <w:tc>
          <w:tcPr>
            <w:tcW w:w="1383" w:type="dxa"/>
            <w:noWrap w:val="0"/>
            <w:vAlign w:val="center"/>
          </w:tcPr>
          <w:p w14:paraId="529A838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2023年</w:t>
            </w:r>
          </w:p>
        </w:tc>
        <w:tc>
          <w:tcPr>
            <w:tcW w:w="3260" w:type="dxa"/>
            <w:noWrap w:val="0"/>
            <w:vAlign w:val="center"/>
          </w:tcPr>
          <w:p w14:paraId="0A80A9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技工院校一体化课程教学改革试点</w:t>
            </w:r>
          </w:p>
        </w:tc>
        <w:tc>
          <w:tcPr>
            <w:tcW w:w="1166" w:type="dxa"/>
            <w:noWrap w:val="0"/>
            <w:vAlign w:val="center"/>
          </w:tcPr>
          <w:p w14:paraId="3EB5D66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国家级</w:t>
            </w:r>
          </w:p>
        </w:tc>
        <w:tc>
          <w:tcPr>
            <w:tcW w:w="2216" w:type="dxa"/>
            <w:noWrap w:val="0"/>
            <w:vAlign w:val="center"/>
          </w:tcPr>
          <w:p w14:paraId="76C1032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人力资源和社会保障部</w:t>
            </w:r>
          </w:p>
        </w:tc>
      </w:tr>
      <w:tr w14:paraId="162EFE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DFB4660">
            <w:pPr>
              <w:ind w:left="27"/>
              <w:jc w:val="center"/>
              <w:rPr>
                <w:rFonts w:hint="eastAsia" w:ascii="宋体" w:hAnsi="宋体" w:eastAsia="宋体"/>
                <w:sz w:val="24"/>
                <w:szCs w:val="24"/>
              </w:rPr>
            </w:pPr>
          </w:p>
        </w:tc>
        <w:tc>
          <w:tcPr>
            <w:tcW w:w="1383" w:type="dxa"/>
            <w:noWrap w:val="0"/>
            <w:vAlign w:val="center"/>
          </w:tcPr>
          <w:p w14:paraId="389641D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2020年</w:t>
            </w:r>
          </w:p>
        </w:tc>
        <w:tc>
          <w:tcPr>
            <w:tcW w:w="3260" w:type="dxa"/>
            <w:noWrap w:val="0"/>
            <w:vAlign w:val="center"/>
          </w:tcPr>
          <w:p w14:paraId="2BB5C6A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自治区级高级工人才</w:t>
            </w:r>
          </w:p>
          <w:p w14:paraId="0B79FF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培训基地</w:t>
            </w:r>
          </w:p>
        </w:tc>
        <w:tc>
          <w:tcPr>
            <w:tcW w:w="1166" w:type="dxa"/>
            <w:noWrap w:val="0"/>
            <w:vAlign w:val="center"/>
          </w:tcPr>
          <w:p w14:paraId="7DD8B6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省部级</w:t>
            </w:r>
          </w:p>
        </w:tc>
        <w:tc>
          <w:tcPr>
            <w:tcW w:w="2216" w:type="dxa"/>
            <w:noWrap w:val="0"/>
            <w:vAlign w:val="center"/>
          </w:tcPr>
          <w:p w14:paraId="055069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广西人力资源和社会保障厅</w:t>
            </w:r>
          </w:p>
        </w:tc>
      </w:tr>
      <w:tr w14:paraId="3AC360F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2F2EE722">
            <w:pPr>
              <w:ind w:left="27"/>
              <w:jc w:val="center"/>
              <w:rPr>
                <w:rFonts w:hint="eastAsia" w:ascii="宋体" w:hAnsi="宋体" w:eastAsia="宋体"/>
                <w:sz w:val="24"/>
                <w:szCs w:val="24"/>
              </w:rPr>
            </w:pPr>
          </w:p>
        </w:tc>
        <w:tc>
          <w:tcPr>
            <w:tcW w:w="1383" w:type="dxa"/>
            <w:noWrap w:val="0"/>
            <w:vAlign w:val="center"/>
          </w:tcPr>
          <w:p w14:paraId="630B7A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2023年</w:t>
            </w:r>
          </w:p>
        </w:tc>
        <w:tc>
          <w:tcPr>
            <w:tcW w:w="3260" w:type="dxa"/>
            <w:noWrap w:val="0"/>
            <w:vAlign w:val="center"/>
          </w:tcPr>
          <w:p w14:paraId="0C3532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广西全民数字素养与技能培训基地</w:t>
            </w:r>
          </w:p>
        </w:tc>
        <w:tc>
          <w:tcPr>
            <w:tcW w:w="1166" w:type="dxa"/>
            <w:shd w:val="clear" w:color="auto" w:fill="auto"/>
            <w:noWrap w:val="0"/>
            <w:vAlign w:val="center"/>
          </w:tcPr>
          <w:p w14:paraId="17C839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省部级</w:t>
            </w:r>
          </w:p>
        </w:tc>
        <w:tc>
          <w:tcPr>
            <w:tcW w:w="2216" w:type="dxa"/>
            <w:shd w:val="clear" w:color="auto" w:fill="auto"/>
            <w:noWrap w:val="0"/>
            <w:vAlign w:val="center"/>
          </w:tcPr>
          <w:p w14:paraId="242E3F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color w:val="000000" w:themeColor="text1"/>
                <w:kern w:val="2"/>
                <w:sz w:val="24"/>
                <w:szCs w:val="24"/>
                <w:lang w:val="en-US" w:eastAsia="zh-CN" w:bidi="ar-SA"/>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广西人力资源和社会保障厅</w:t>
            </w:r>
          </w:p>
        </w:tc>
      </w:tr>
      <w:tr w14:paraId="17C51F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13B926A1">
            <w:pPr>
              <w:ind w:left="27"/>
              <w:jc w:val="center"/>
              <w:rPr>
                <w:rFonts w:hint="eastAsia" w:ascii="宋体" w:hAnsi="宋体" w:eastAsia="宋体"/>
                <w:sz w:val="24"/>
                <w:szCs w:val="24"/>
              </w:rPr>
            </w:pPr>
          </w:p>
        </w:tc>
        <w:tc>
          <w:tcPr>
            <w:tcW w:w="1383" w:type="dxa"/>
            <w:noWrap w:val="0"/>
            <w:vAlign w:val="center"/>
          </w:tcPr>
          <w:p w14:paraId="29512B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2018年</w:t>
            </w:r>
          </w:p>
        </w:tc>
        <w:tc>
          <w:tcPr>
            <w:tcW w:w="3260" w:type="dxa"/>
            <w:noWrap w:val="0"/>
            <w:vAlign w:val="center"/>
          </w:tcPr>
          <w:p w14:paraId="0D1082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中恒科学技术奖一等奖</w:t>
            </w:r>
          </w:p>
        </w:tc>
        <w:tc>
          <w:tcPr>
            <w:tcW w:w="1166" w:type="dxa"/>
            <w:noWrap w:val="0"/>
            <w:vAlign w:val="center"/>
          </w:tcPr>
          <w:p w14:paraId="0EC180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省部级一等奖</w:t>
            </w:r>
          </w:p>
        </w:tc>
        <w:tc>
          <w:tcPr>
            <w:tcW w:w="2216" w:type="dxa"/>
            <w:noWrap w:val="0"/>
            <w:vAlign w:val="center"/>
          </w:tcPr>
          <w:p w14:paraId="793CF4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olor w:val="000000" w:themeColor="text1"/>
                <w:sz w:val="24"/>
                <w:szCs w:val="24"/>
                <w:lang w:val="en-US" w:eastAsia="zh-CN"/>
                <w14:textFill>
                  <w14:solidFill>
                    <w14:schemeClr w14:val="tx1"/>
                  </w14:solidFill>
                </w14:textFill>
              </w:rPr>
            </w:pPr>
            <w:r>
              <w:rPr>
                <w:rFonts w:hint="eastAsia" w:ascii="宋体" w:hAnsi="宋体" w:eastAsia="宋体"/>
                <w:color w:val="000000" w:themeColor="text1"/>
                <w:sz w:val="24"/>
                <w:szCs w:val="24"/>
                <w:lang w:val="en-US" w:eastAsia="zh-CN"/>
                <w14:textFill>
                  <w14:solidFill>
                    <w14:schemeClr w14:val="tx1"/>
                  </w14:solidFill>
                </w14:textFill>
              </w:rPr>
              <w:t>广西药学会</w:t>
            </w:r>
          </w:p>
        </w:tc>
      </w:tr>
      <w:tr w14:paraId="092894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650B8C50">
            <w:pPr>
              <w:ind w:left="27"/>
              <w:jc w:val="center"/>
              <w:rPr>
                <w:rFonts w:hint="eastAsia" w:ascii="宋体" w:hAnsi="宋体" w:eastAsia="宋体"/>
                <w:sz w:val="24"/>
                <w:szCs w:val="24"/>
              </w:rPr>
            </w:pPr>
          </w:p>
        </w:tc>
        <w:tc>
          <w:tcPr>
            <w:tcW w:w="1383" w:type="dxa"/>
            <w:noWrap w:val="0"/>
            <w:vAlign w:val="center"/>
          </w:tcPr>
          <w:p w14:paraId="3DF06DB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2021年</w:t>
            </w:r>
          </w:p>
        </w:tc>
        <w:tc>
          <w:tcPr>
            <w:tcW w:w="3260" w:type="dxa"/>
            <w:noWrap w:val="0"/>
            <w:vAlign w:val="center"/>
          </w:tcPr>
          <w:p w14:paraId="432DDC4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教学成果：中职学校课程教学质量提升的“三维融通”模式探索与实践</w:t>
            </w:r>
          </w:p>
        </w:tc>
        <w:tc>
          <w:tcPr>
            <w:tcW w:w="1166" w:type="dxa"/>
            <w:noWrap w:val="0"/>
            <w:vAlign w:val="center"/>
          </w:tcPr>
          <w:p w14:paraId="20F221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省部级二等奖</w:t>
            </w:r>
          </w:p>
        </w:tc>
        <w:tc>
          <w:tcPr>
            <w:tcW w:w="2216" w:type="dxa"/>
            <w:noWrap w:val="0"/>
            <w:vAlign w:val="center"/>
          </w:tcPr>
          <w:p w14:paraId="0BD253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广西教育厅</w:t>
            </w:r>
          </w:p>
        </w:tc>
      </w:tr>
      <w:tr w14:paraId="7E3EAB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5A8011A9">
            <w:pPr>
              <w:ind w:left="27"/>
              <w:jc w:val="center"/>
              <w:rPr>
                <w:rFonts w:hint="eastAsia" w:ascii="宋体" w:hAnsi="宋体" w:eastAsia="宋体"/>
                <w:sz w:val="24"/>
                <w:szCs w:val="24"/>
              </w:rPr>
            </w:pPr>
          </w:p>
        </w:tc>
        <w:tc>
          <w:tcPr>
            <w:tcW w:w="1383" w:type="dxa"/>
            <w:noWrap w:val="0"/>
            <w:vAlign w:val="center"/>
          </w:tcPr>
          <w:p w14:paraId="1C8005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2023年</w:t>
            </w:r>
          </w:p>
        </w:tc>
        <w:tc>
          <w:tcPr>
            <w:tcW w:w="3260" w:type="dxa"/>
            <w:noWrap w:val="0"/>
            <w:vAlign w:val="center"/>
          </w:tcPr>
          <w:p w14:paraId="547600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教学成果：《双元协同、两线四阶、五环联动：中职高水平师资团队培育模式的研究与实践》</w:t>
            </w:r>
          </w:p>
        </w:tc>
        <w:tc>
          <w:tcPr>
            <w:tcW w:w="1166" w:type="dxa"/>
            <w:noWrap w:val="0"/>
            <w:vAlign w:val="center"/>
          </w:tcPr>
          <w:p w14:paraId="0D82F9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省部级二等奖</w:t>
            </w:r>
          </w:p>
        </w:tc>
        <w:tc>
          <w:tcPr>
            <w:tcW w:w="2216" w:type="dxa"/>
            <w:noWrap w:val="0"/>
            <w:vAlign w:val="center"/>
          </w:tcPr>
          <w:p w14:paraId="2D54E3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广西教育厅</w:t>
            </w:r>
          </w:p>
        </w:tc>
      </w:tr>
      <w:tr w14:paraId="777ECB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697DE21">
            <w:pPr>
              <w:ind w:left="27"/>
              <w:jc w:val="center"/>
              <w:rPr>
                <w:rFonts w:hint="eastAsia" w:ascii="宋体" w:hAnsi="宋体" w:eastAsia="宋体"/>
                <w:sz w:val="24"/>
                <w:szCs w:val="24"/>
              </w:rPr>
            </w:pPr>
          </w:p>
        </w:tc>
        <w:tc>
          <w:tcPr>
            <w:tcW w:w="1383" w:type="dxa"/>
            <w:noWrap w:val="0"/>
            <w:vAlign w:val="center"/>
          </w:tcPr>
          <w:p w14:paraId="3CBBF2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2024年</w:t>
            </w:r>
          </w:p>
        </w:tc>
        <w:tc>
          <w:tcPr>
            <w:tcW w:w="3260" w:type="dxa"/>
            <w:noWrap w:val="0"/>
            <w:vAlign w:val="center"/>
          </w:tcPr>
          <w:p w14:paraId="46E54D4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“八桂系列”劳务品牌技能</w:t>
            </w:r>
          </w:p>
          <w:p w14:paraId="6F889A6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培训领航项目</w:t>
            </w:r>
          </w:p>
        </w:tc>
        <w:tc>
          <w:tcPr>
            <w:tcW w:w="1166" w:type="dxa"/>
            <w:noWrap w:val="0"/>
            <w:vAlign w:val="center"/>
          </w:tcPr>
          <w:p w14:paraId="375C0A2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w:t>
            </w:r>
          </w:p>
        </w:tc>
        <w:tc>
          <w:tcPr>
            <w:tcW w:w="2216" w:type="dxa"/>
            <w:noWrap w:val="0"/>
            <w:vAlign w:val="center"/>
          </w:tcPr>
          <w:p w14:paraId="727D42F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广西人力资源和社会保障厅</w:t>
            </w:r>
          </w:p>
        </w:tc>
      </w:tr>
      <w:tr w14:paraId="3D96DC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6A907AB3">
            <w:pPr>
              <w:ind w:left="27"/>
              <w:jc w:val="center"/>
              <w:rPr>
                <w:rFonts w:hint="eastAsia" w:ascii="宋体" w:hAnsi="宋体" w:eastAsia="宋体"/>
                <w:sz w:val="24"/>
                <w:szCs w:val="24"/>
              </w:rPr>
            </w:pPr>
          </w:p>
        </w:tc>
        <w:tc>
          <w:tcPr>
            <w:tcW w:w="1383" w:type="dxa"/>
            <w:noWrap w:val="0"/>
            <w:vAlign w:val="center"/>
          </w:tcPr>
          <w:p w14:paraId="55F9AC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2024年</w:t>
            </w:r>
          </w:p>
        </w:tc>
        <w:tc>
          <w:tcPr>
            <w:tcW w:w="3260" w:type="dxa"/>
            <w:noWrap w:val="0"/>
            <w:vAlign w:val="center"/>
          </w:tcPr>
          <w:p w14:paraId="64355CB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南宁老友粉烹饪培训规范</w:t>
            </w:r>
          </w:p>
          <w:p w14:paraId="09FA5E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标准</w:t>
            </w:r>
          </w:p>
        </w:tc>
        <w:tc>
          <w:tcPr>
            <w:tcW w:w="1166" w:type="dxa"/>
            <w:noWrap w:val="0"/>
            <w:vAlign w:val="center"/>
          </w:tcPr>
          <w:p w14:paraId="0FA75DC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w:t>
            </w:r>
          </w:p>
        </w:tc>
        <w:tc>
          <w:tcPr>
            <w:tcW w:w="2216" w:type="dxa"/>
            <w:noWrap w:val="0"/>
            <w:vAlign w:val="center"/>
          </w:tcPr>
          <w:p w14:paraId="4465D31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南宁市市场监督管理局</w:t>
            </w:r>
          </w:p>
        </w:tc>
      </w:tr>
      <w:tr w14:paraId="3C481D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11C58712">
            <w:pPr>
              <w:ind w:left="27"/>
              <w:jc w:val="center"/>
              <w:rPr>
                <w:rFonts w:hint="eastAsia" w:ascii="宋体" w:hAnsi="宋体" w:eastAsia="宋体"/>
                <w:sz w:val="24"/>
                <w:szCs w:val="24"/>
              </w:rPr>
            </w:pPr>
          </w:p>
        </w:tc>
        <w:tc>
          <w:tcPr>
            <w:tcW w:w="1383" w:type="dxa"/>
            <w:noWrap w:val="0"/>
            <w:vAlign w:val="center"/>
          </w:tcPr>
          <w:p w14:paraId="425419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2024年</w:t>
            </w:r>
          </w:p>
        </w:tc>
        <w:tc>
          <w:tcPr>
            <w:tcW w:w="3260" w:type="dxa"/>
            <w:noWrap w:val="0"/>
            <w:vAlign w:val="center"/>
          </w:tcPr>
          <w:p w14:paraId="681403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广西技工院校优质课程</w:t>
            </w:r>
          </w:p>
          <w:p w14:paraId="6BC479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《医药市场营销》</w:t>
            </w:r>
          </w:p>
        </w:tc>
        <w:tc>
          <w:tcPr>
            <w:tcW w:w="1166" w:type="dxa"/>
            <w:noWrap w:val="0"/>
            <w:vAlign w:val="center"/>
          </w:tcPr>
          <w:p w14:paraId="0B8D57A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w:t>
            </w:r>
          </w:p>
        </w:tc>
        <w:tc>
          <w:tcPr>
            <w:tcW w:w="2216" w:type="dxa"/>
            <w:noWrap w:val="0"/>
            <w:vAlign w:val="center"/>
          </w:tcPr>
          <w:p w14:paraId="66EBC1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广西壮族自治区人力资源和社会保障厅</w:t>
            </w:r>
          </w:p>
        </w:tc>
      </w:tr>
      <w:tr w14:paraId="2AE0BE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54276312">
            <w:pPr>
              <w:ind w:left="27"/>
              <w:jc w:val="center"/>
              <w:rPr>
                <w:rFonts w:hint="eastAsia" w:ascii="宋体" w:hAnsi="宋体" w:eastAsia="宋体"/>
                <w:sz w:val="24"/>
                <w:szCs w:val="24"/>
              </w:rPr>
            </w:pPr>
          </w:p>
        </w:tc>
        <w:tc>
          <w:tcPr>
            <w:tcW w:w="8025" w:type="dxa"/>
            <w:gridSpan w:val="4"/>
            <w:noWrap w:val="0"/>
            <w:vAlign w:val="center"/>
          </w:tcPr>
          <w:p w14:paraId="398BF22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b/>
                <w:bCs/>
                <w:sz w:val="24"/>
                <w:szCs w:val="24"/>
                <w:lang w:val="en-US" w:eastAsia="zh-CN"/>
              </w:rPr>
              <w:t>教师获奖</w:t>
            </w:r>
          </w:p>
        </w:tc>
      </w:tr>
      <w:tr w14:paraId="2988AFB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34D3C7E1">
            <w:pPr>
              <w:ind w:left="27"/>
              <w:jc w:val="center"/>
              <w:rPr>
                <w:rFonts w:hint="eastAsia" w:ascii="宋体" w:hAnsi="宋体" w:eastAsia="宋体"/>
                <w:sz w:val="24"/>
                <w:szCs w:val="24"/>
              </w:rPr>
            </w:pPr>
          </w:p>
        </w:tc>
        <w:tc>
          <w:tcPr>
            <w:tcW w:w="1383" w:type="dxa"/>
            <w:shd w:val="clear" w:color="auto" w:fill="auto"/>
            <w:noWrap w:val="0"/>
            <w:vAlign w:val="center"/>
          </w:tcPr>
          <w:p w14:paraId="06DA27E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2021年</w:t>
            </w:r>
          </w:p>
        </w:tc>
        <w:tc>
          <w:tcPr>
            <w:tcW w:w="3260" w:type="dxa"/>
            <w:shd w:val="clear" w:color="auto" w:fill="auto"/>
            <w:noWrap w:val="0"/>
            <w:vAlign w:val="center"/>
          </w:tcPr>
          <w:p w14:paraId="33F4E1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发明专利一项</w:t>
            </w:r>
          </w:p>
        </w:tc>
        <w:tc>
          <w:tcPr>
            <w:tcW w:w="1166" w:type="dxa"/>
            <w:shd w:val="clear" w:color="auto" w:fill="auto"/>
            <w:noWrap w:val="0"/>
            <w:vAlign w:val="center"/>
          </w:tcPr>
          <w:p w14:paraId="40D89D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国家级</w:t>
            </w:r>
          </w:p>
        </w:tc>
        <w:tc>
          <w:tcPr>
            <w:tcW w:w="2216" w:type="dxa"/>
            <w:shd w:val="clear" w:color="auto" w:fill="auto"/>
            <w:noWrap w:val="0"/>
            <w:vAlign w:val="center"/>
          </w:tcPr>
          <w:p w14:paraId="21418B4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国家知识产权局</w:t>
            </w:r>
          </w:p>
        </w:tc>
      </w:tr>
      <w:tr w14:paraId="17410C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3D840702">
            <w:pPr>
              <w:ind w:left="27"/>
              <w:jc w:val="center"/>
              <w:rPr>
                <w:rFonts w:hint="eastAsia" w:ascii="宋体" w:hAnsi="宋体" w:eastAsia="宋体"/>
                <w:sz w:val="24"/>
                <w:szCs w:val="24"/>
              </w:rPr>
            </w:pPr>
          </w:p>
        </w:tc>
        <w:tc>
          <w:tcPr>
            <w:tcW w:w="1383" w:type="dxa"/>
            <w:shd w:val="clear" w:color="auto" w:fill="auto"/>
            <w:noWrap w:val="0"/>
            <w:vAlign w:val="center"/>
          </w:tcPr>
          <w:p w14:paraId="099A23A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2021年</w:t>
            </w:r>
          </w:p>
        </w:tc>
        <w:tc>
          <w:tcPr>
            <w:tcW w:w="3260" w:type="dxa"/>
            <w:shd w:val="clear" w:color="auto" w:fill="auto"/>
            <w:noWrap w:val="0"/>
            <w:vAlign w:val="center"/>
          </w:tcPr>
          <w:p w14:paraId="6F0DF8B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第七届全区职工职业技能</w:t>
            </w:r>
          </w:p>
          <w:p w14:paraId="0AFC67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大赛</w:t>
            </w:r>
          </w:p>
        </w:tc>
        <w:tc>
          <w:tcPr>
            <w:tcW w:w="1166" w:type="dxa"/>
            <w:shd w:val="clear" w:color="auto" w:fill="auto"/>
            <w:noWrap w:val="0"/>
            <w:vAlign w:val="center"/>
          </w:tcPr>
          <w:p w14:paraId="096ED7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省部级一等奖</w:t>
            </w:r>
          </w:p>
        </w:tc>
        <w:tc>
          <w:tcPr>
            <w:tcW w:w="2216" w:type="dxa"/>
            <w:shd w:val="clear" w:color="auto" w:fill="auto"/>
            <w:noWrap w:val="0"/>
            <w:vAlign w:val="center"/>
          </w:tcPr>
          <w:p w14:paraId="2F0DC58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广西壮族自治区人力资源和社会保障厅</w:t>
            </w:r>
          </w:p>
        </w:tc>
      </w:tr>
      <w:tr w14:paraId="153798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4" w:hRule="atLeast"/>
          <w:jc w:val="center"/>
        </w:trPr>
        <w:tc>
          <w:tcPr>
            <w:tcW w:w="1102" w:type="dxa"/>
            <w:vMerge w:val="continue"/>
            <w:noWrap w:val="0"/>
            <w:vAlign w:val="center"/>
          </w:tcPr>
          <w:p w14:paraId="646E43B7">
            <w:pPr>
              <w:ind w:left="27"/>
              <w:jc w:val="center"/>
              <w:rPr>
                <w:rFonts w:hint="eastAsia" w:ascii="宋体" w:hAnsi="宋体" w:eastAsia="宋体"/>
                <w:sz w:val="24"/>
                <w:szCs w:val="24"/>
              </w:rPr>
            </w:pPr>
          </w:p>
        </w:tc>
        <w:tc>
          <w:tcPr>
            <w:tcW w:w="1383" w:type="dxa"/>
            <w:shd w:val="clear" w:color="auto" w:fill="auto"/>
            <w:noWrap w:val="0"/>
            <w:vAlign w:val="center"/>
          </w:tcPr>
          <w:p w14:paraId="0F82D6B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2021年</w:t>
            </w:r>
          </w:p>
        </w:tc>
        <w:tc>
          <w:tcPr>
            <w:tcW w:w="3260" w:type="dxa"/>
            <w:shd w:val="clear" w:color="auto" w:fill="auto"/>
            <w:noWrap w:val="0"/>
            <w:vAlign w:val="center"/>
          </w:tcPr>
          <w:p w14:paraId="1B543FE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广西职业学校教师职业技能大赛</w:t>
            </w:r>
          </w:p>
        </w:tc>
        <w:tc>
          <w:tcPr>
            <w:tcW w:w="1166" w:type="dxa"/>
            <w:shd w:val="clear" w:color="auto" w:fill="auto"/>
            <w:noWrap w:val="0"/>
            <w:vAlign w:val="center"/>
          </w:tcPr>
          <w:p w14:paraId="4B6A94F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省部级一等奖</w:t>
            </w:r>
          </w:p>
        </w:tc>
        <w:tc>
          <w:tcPr>
            <w:tcW w:w="2216" w:type="dxa"/>
            <w:shd w:val="clear" w:color="auto" w:fill="auto"/>
            <w:noWrap w:val="0"/>
            <w:vAlign w:val="center"/>
          </w:tcPr>
          <w:p w14:paraId="01F9DD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48E6E38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教育厅</w:t>
            </w:r>
          </w:p>
        </w:tc>
      </w:tr>
      <w:tr w14:paraId="69E86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4" w:hRule="atLeast"/>
          <w:jc w:val="center"/>
        </w:trPr>
        <w:tc>
          <w:tcPr>
            <w:tcW w:w="1102" w:type="dxa"/>
            <w:vMerge w:val="continue"/>
            <w:noWrap w:val="0"/>
            <w:vAlign w:val="center"/>
          </w:tcPr>
          <w:p w14:paraId="5A99B2E1">
            <w:pPr>
              <w:ind w:left="27"/>
              <w:jc w:val="center"/>
              <w:rPr>
                <w:rFonts w:hint="eastAsia" w:ascii="宋体" w:hAnsi="宋体" w:eastAsia="宋体"/>
                <w:sz w:val="24"/>
                <w:szCs w:val="24"/>
              </w:rPr>
            </w:pPr>
          </w:p>
        </w:tc>
        <w:tc>
          <w:tcPr>
            <w:tcW w:w="1383" w:type="dxa"/>
            <w:shd w:val="clear" w:color="auto" w:fill="auto"/>
            <w:noWrap w:val="0"/>
            <w:vAlign w:val="center"/>
          </w:tcPr>
          <w:p w14:paraId="450B2D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2023年</w:t>
            </w:r>
          </w:p>
        </w:tc>
        <w:tc>
          <w:tcPr>
            <w:tcW w:w="3260" w:type="dxa"/>
            <w:shd w:val="clear" w:color="auto" w:fill="auto"/>
            <w:noWrap w:val="0"/>
            <w:vAlign w:val="center"/>
          </w:tcPr>
          <w:p w14:paraId="4ED74A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广西职业院校技能大赛中职组个人赛</w:t>
            </w:r>
          </w:p>
        </w:tc>
        <w:tc>
          <w:tcPr>
            <w:tcW w:w="1166" w:type="dxa"/>
            <w:shd w:val="clear" w:color="auto" w:fill="auto"/>
            <w:noWrap w:val="0"/>
            <w:vAlign w:val="center"/>
          </w:tcPr>
          <w:p w14:paraId="306DC3A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省部级一等奖</w:t>
            </w:r>
          </w:p>
        </w:tc>
        <w:tc>
          <w:tcPr>
            <w:tcW w:w="2216" w:type="dxa"/>
            <w:shd w:val="clear" w:color="auto" w:fill="auto"/>
            <w:noWrap w:val="0"/>
            <w:vAlign w:val="center"/>
          </w:tcPr>
          <w:p w14:paraId="5C4800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5540088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教育厅</w:t>
            </w:r>
          </w:p>
        </w:tc>
      </w:tr>
      <w:tr w14:paraId="493CB3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4" w:hRule="atLeast"/>
          <w:jc w:val="center"/>
        </w:trPr>
        <w:tc>
          <w:tcPr>
            <w:tcW w:w="1102" w:type="dxa"/>
            <w:vMerge w:val="continue"/>
            <w:noWrap w:val="0"/>
            <w:vAlign w:val="center"/>
          </w:tcPr>
          <w:p w14:paraId="6918327F">
            <w:pPr>
              <w:ind w:left="27"/>
              <w:jc w:val="center"/>
              <w:rPr>
                <w:rFonts w:hint="eastAsia" w:ascii="宋体" w:hAnsi="宋体" w:eastAsia="宋体"/>
                <w:sz w:val="24"/>
                <w:szCs w:val="24"/>
              </w:rPr>
            </w:pPr>
          </w:p>
        </w:tc>
        <w:tc>
          <w:tcPr>
            <w:tcW w:w="1383" w:type="dxa"/>
            <w:shd w:val="clear" w:color="auto" w:fill="auto"/>
            <w:noWrap w:val="0"/>
            <w:vAlign w:val="center"/>
          </w:tcPr>
          <w:p w14:paraId="7B4EC4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2022年</w:t>
            </w:r>
          </w:p>
        </w:tc>
        <w:tc>
          <w:tcPr>
            <w:tcW w:w="3260" w:type="dxa"/>
            <w:shd w:val="clear" w:color="auto" w:fill="auto"/>
            <w:noWrap w:val="0"/>
            <w:vAlign w:val="center"/>
          </w:tcPr>
          <w:p w14:paraId="44FDF3B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广西职业院校技能大赛中职组个人赛</w:t>
            </w:r>
          </w:p>
        </w:tc>
        <w:tc>
          <w:tcPr>
            <w:tcW w:w="1166" w:type="dxa"/>
            <w:shd w:val="clear" w:color="auto" w:fill="auto"/>
            <w:noWrap w:val="0"/>
            <w:vAlign w:val="center"/>
          </w:tcPr>
          <w:p w14:paraId="48DA17F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省部级一等奖</w:t>
            </w:r>
          </w:p>
        </w:tc>
        <w:tc>
          <w:tcPr>
            <w:tcW w:w="2216" w:type="dxa"/>
            <w:shd w:val="clear" w:color="auto" w:fill="auto"/>
            <w:noWrap w:val="0"/>
            <w:vAlign w:val="center"/>
          </w:tcPr>
          <w:p w14:paraId="33B2C7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0CE35EE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教育厅</w:t>
            </w:r>
          </w:p>
        </w:tc>
      </w:tr>
      <w:tr w14:paraId="7B62F18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2953710F">
            <w:pPr>
              <w:ind w:left="27"/>
              <w:jc w:val="center"/>
              <w:rPr>
                <w:rFonts w:hint="eastAsia" w:ascii="宋体" w:hAnsi="宋体" w:eastAsia="宋体"/>
                <w:sz w:val="24"/>
                <w:szCs w:val="24"/>
              </w:rPr>
            </w:pPr>
          </w:p>
        </w:tc>
        <w:tc>
          <w:tcPr>
            <w:tcW w:w="1383" w:type="dxa"/>
            <w:noWrap w:val="0"/>
            <w:vAlign w:val="center"/>
          </w:tcPr>
          <w:p w14:paraId="7C1A825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2020年</w:t>
            </w:r>
          </w:p>
        </w:tc>
        <w:tc>
          <w:tcPr>
            <w:tcW w:w="3260" w:type="dxa"/>
            <w:noWrap w:val="0"/>
            <w:vAlign w:val="center"/>
          </w:tcPr>
          <w:p w14:paraId="7E7C2F1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广西职业院校教学能力大赛</w:t>
            </w:r>
          </w:p>
          <w:p w14:paraId="3495BF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课堂教学项目</w:t>
            </w:r>
          </w:p>
        </w:tc>
        <w:tc>
          <w:tcPr>
            <w:tcW w:w="1166" w:type="dxa"/>
            <w:noWrap w:val="0"/>
            <w:vAlign w:val="center"/>
          </w:tcPr>
          <w:p w14:paraId="21D914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省部级二等奖</w:t>
            </w:r>
          </w:p>
        </w:tc>
        <w:tc>
          <w:tcPr>
            <w:tcW w:w="2216" w:type="dxa"/>
            <w:noWrap w:val="0"/>
            <w:vAlign w:val="center"/>
          </w:tcPr>
          <w:p w14:paraId="6A656E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042DD61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教育厅</w:t>
            </w:r>
          </w:p>
        </w:tc>
      </w:tr>
      <w:tr w14:paraId="27EB58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D4E4C89">
            <w:pPr>
              <w:ind w:left="27"/>
              <w:jc w:val="center"/>
              <w:rPr>
                <w:rFonts w:hint="eastAsia" w:ascii="宋体" w:hAnsi="宋体" w:eastAsia="宋体"/>
                <w:sz w:val="24"/>
                <w:szCs w:val="24"/>
              </w:rPr>
            </w:pPr>
          </w:p>
        </w:tc>
        <w:tc>
          <w:tcPr>
            <w:tcW w:w="1383" w:type="dxa"/>
            <w:noWrap w:val="0"/>
            <w:vAlign w:val="center"/>
          </w:tcPr>
          <w:p w14:paraId="217219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2021年</w:t>
            </w:r>
          </w:p>
        </w:tc>
        <w:tc>
          <w:tcPr>
            <w:tcW w:w="3260" w:type="dxa"/>
            <w:noWrap w:val="0"/>
            <w:vAlign w:val="center"/>
          </w:tcPr>
          <w:p w14:paraId="2E492F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广西技工院校优质课评选</w:t>
            </w:r>
          </w:p>
        </w:tc>
        <w:tc>
          <w:tcPr>
            <w:tcW w:w="1166" w:type="dxa"/>
            <w:noWrap w:val="0"/>
            <w:vAlign w:val="center"/>
          </w:tcPr>
          <w:p w14:paraId="439F7D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省部级二等奖</w:t>
            </w:r>
          </w:p>
        </w:tc>
        <w:tc>
          <w:tcPr>
            <w:tcW w:w="2216" w:type="dxa"/>
            <w:noWrap w:val="0"/>
            <w:vAlign w:val="center"/>
          </w:tcPr>
          <w:p w14:paraId="1EB0B1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6664EF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教育厅</w:t>
            </w:r>
          </w:p>
        </w:tc>
      </w:tr>
      <w:tr w14:paraId="793318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16E1264">
            <w:pPr>
              <w:ind w:left="27"/>
              <w:jc w:val="center"/>
              <w:rPr>
                <w:rFonts w:hint="eastAsia" w:ascii="宋体" w:hAnsi="宋体" w:eastAsia="宋体"/>
                <w:sz w:val="24"/>
                <w:szCs w:val="24"/>
              </w:rPr>
            </w:pPr>
          </w:p>
        </w:tc>
        <w:tc>
          <w:tcPr>
            <w:tcW w:w="1383" w:type="dxa"/>
            <w:noWrap w:val="0"/>
            <w:vAlign w:val="center"/>
          </w:tcPr>
          <w:p w14:paraId="53BF16B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2019年</w:t>
            </w:r>
          </w:p>
        </w:tc>
        <w:tc>
          <w:tcPr>
            <w:tcW w:w="3260" w:type="dxa"/>
            <w:noWrap w:val="0"/>
            <w:vAlign w:val="center"/>
          </w:tcPr>
          <w:p w14:paraId="1BF8DE8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广西中职学校教师职业技能大赛“创新创业”项目</w:t>
            </w:r>
          </w:p>
        </w:tc>
        <w:tc>
          <w:tcPr>
            <w:tcW w:w="1166" w:type="dxa"/>
            <w:noWrap w:val="0"/>
            <w:vAlign w:val="center"/>
          </w:tcPr>
          <w:p w14:paraId="311DB4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省部级二等奖</w:t>
            </w:r>
          </w:p>
        </w:tc>
        <w:tc>
          <w:tcPr>
            <w:tcW w:w="2216" w:type="dxa"/>
            <w:noWrap w:val="0"/>
            <w:vAlign w:val="center"/>
          </w:tcPr>
          <w:p w14:paraId="4C0E25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2279FC7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教育厅</w:t>
            </w:r>
          </w:p>
        </w:tc>
      </w:tr>
      <w:tr w14:paraId="10848F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1DF7B69">
            <w:pPr>
              <w:ind w:left="27"/>
              <w:jc w:val="center"/>
              <w:rPr>
                <w:rFonts w:hint="eastAsia" w:ascii="宋体" w:hAnsi="宋体" w:eastAsia="宋体"/>
                <w:sz w:val="24"/>
                <w:szCs w:val="24"/>
              </w:rPr>
            </w:pPr>
          </w:p>
        </w:tc>
        <w:tc>
          <w:tcPr>
            <w:tcW w:w="1383" w:type="dxa"/>
            <w:noWrap w:val="0"/>
            <w:vAlign w:val="center"/>
          </w:tcPr>
          <w:p w14:paraId="18107A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2025年</w:t>
            </w:r>
          </w:p>
        </w:tc>
        <w:tc>
          <w:tcPr>
            <w:tcW w:w="3260" w:type="dxa"/>
            <w:noWrap w:val="0"/>
            <w:vAlign w:val="center"/>
          </w:tcPr>
          <w:p w14:paraId="128A634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广西职业院校技能大赛化学检验赛项</w:t>
            </w:r>
          </w:p>
        </w:tc>
        <w:tc>
          <w:tcPr>
            <w:tcW w:w="1166" w:type="dxa"/>
            <w:noWrap w:val="0"/>
            <w:vAlign w:val="center"/>
          </w:tcPr>
          <w:p w14:paraId="70DA6C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省部级二等奖</w:t>
            </w:r>
          </w:p>
        </w:tc>
        <w:tc>
          <w:tcPr>
            <w:tcW w:w="2216" w:type="dxa"/>
            <w:noWrap w:val="0"/>
            <w:vAlign w:val="center"/>
          </w:tcPr>
          <w:p w14:paraId="21C7D96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1B081A0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教育厅</w:t>
            </w:r>
          </w:p>
        </w:tc>
      </w:tr>
      <w:tr w14:paraId="7B2EB2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10714716">
            <w:pPr>
              <w:ind w:left="27"/>
              <w:jc w:val="center"/>
              <w:rPr>
                <w:rFonts w:hint="eastAsia" w:ascii="宋体" w:hAnsi="宋体" w:eastAsia="宋体"/>
                <w:sz w:val="24"/>
                <w:szCs w:val="24"/>
              </w:rPr>
            </w:pPr>
          </w:p>
        </w:tc>
        <w:tc>
          <w:tcPr>
            <w:tcW w:w="1383" w:type="dxa"/>
            <w:noWrap w:val="0"/>
            <w:vAlign w:val="center"/>
          </w:tcPr>
          <w:p w14:paraId="0A659F5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2022年</w:t>
            </w:r>
          </w:p>
        </w:tc>
        <w:tc>
          <w:tcPr>
            <w:tcW w:w="3260" w:type="dxa"/>
            <w:noWrap w:val="0"/>
            <w:vAlign w:val="center"/>
          </w:tcPr>
          <w:p w14:paraId="2838B33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广西科技进步二等奖</w:t>
            </w:r>
          </w:p>
        </w:tc>
        <w:tc>
          <w:tcPr>
            <w:tcW w:w="1166" w:type="dxa"/>
            <w:noWrap w:val="0"/>
            <w:vAlign w:val="center"/>
          </w:tcPr>
          <w:p w14:paraId="7339C5B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省部级二等奖</w:t>
            </w:r>
          </w:p>
        </w:tc>
        <w:tc>
          <w:tcPr>
            <w:tcW w:w="2216" w:type="dxa"/>
            <w:noWrap w:val="0"/>
            <w:vAlign w:val="center"/>
          </w:tcPr>
          <w:p w14:paraId="48BAD48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704EFD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人民政府</w:t>
            </w:r>
          </w:p>
        </w:tc>
      </w:tr>
      <w:tr w14:paraId="6A7E23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929C077">
            <w:pPr>
              <w:ind w:left="27"/>
              <w:jc w:val="center"/>
              <w:rPr>
                <w:rFonts w:hint="eastAsia" w:ascii="宋体" w:hAnsi="宋体" w:eastAsia="宋体"/>
                <w:sz w:val="24"/>
                <w:szCs w:val="24"/>
              </w:rPr>
            </w:pPr>
          </w:p>
        </w:tc>
        <w:tc>
          <w:tcPr>
            <w:tcW w:w="1383" w:type="dxa"/>
            <w:noWrap w:val="0"/>
            <w:vAlign w:val="center"/>
          </w:tcPr>
          <w:p w14:paraId="56CE08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2020年</w:t>
            </w:r>
          </w:p>
        </w:tc>
        <w:tc>
          <w:tcPr>
            <w:tcW w:w="3260" w:type="dxa"/>
            <w:noWrap w:val="0"/>
            <w:vAlign w:val="center"/>
          </w:tcPr>
          <w:p w14:paraId="36B895C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第二届全国技工院校教室职业能力大赛广西选拔赛</w:t>
            </w:r>
          </w:p>
        </w:tc>
        <w:tc>
          <w:tcPr>
            <w:tcW w:w="1166" w:type="dxa"/>
            <w:shd w:val="clear" w:color="auto" w:fill="auto"/>
            <w:noWrap w:val="0"/>
            <w:vAlign w:val="center"/>
          </w:tcPr>
          <w:p w14:paraId="59A46A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省部级三等奖</w:t>
            </w:r>
          </w:p>
        </w:tc>
        <w:tc>
          <w:tcPr>
            <w:tcW w:w="2216" w:type="dxa"/>
            <w:shd w:val="clear" w:color="auto" w:fill="auto"/>
            <w:noWrap w:val="0"/>
            <w:vAlign w:val="center"/>
          </w:tcPr>
          <w:p w14:paraId="6F3D4B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广西壮族自治区人力资源和社会保障厅</w:t>
            </w:r>
          </w:p>
        </w:tc>
      </w:tr>
      <w:tr w14:paraId="1C3763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BE72730">
            <w:pPr>
              <w:ind w:left="27"/>
              <w:jc w:val="center"/>
              <w:rPr>
                <w:rFonts w:hint="eastAsia" w:ascii="宋体" w:hAnsi="宋体" w:eastAsia="宋体"/>
                <w:sz w:val="24"/>
                <w:szCs w:val="24"/>
              </w:rPr>
            </w:pPr>
          </w:p>
        </w:tc>
        <w:tc>
          <w:tcPr>
            <w:tcW w:w="1383" w:type="dxa"/>
            <w:noWrap w:val="0"/>
            <w:vAlign w:val="center"/>
          </w:tcPr>
          <w:p w14:paraId="2C1B9C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2022年</w:t>
            </w:r>
          </w:p>
        </w:tc>
        <w:tc>
          <w:tcPr>
            <w:tcW w:w="3260" w:type="dxa"/>
            <w:noWrap w:val="0"/>
            <w:vAlign w:val="center"/>
          </w:tcPr>
          <w:p w14:paraId="62858D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第三届全国技工院校教师职业能力大赛广西选拔赛</w:t>
            </w:r>
          </w:p>
        </w:tc>
        <w:tc>
          <w:tcPr>
            <w:tcW w:w="1166" w:type="dxa"/>
            <w:noWrap w:val="0"/>
            <w:vAlign w:val="center"/>
          </w:tcPr>
          <w:p w14:paraId="3605E1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省部级三等奖</w:t>
            </w:r>
          </w:p>
        </w:tc>
        <w:tc>
          <w:tcPr>
            <w:tcW w:w="2216" w:type="dxa"/>
            <w:noWrap w:val="0"/>
            <w:vAlign w:val="center"/>
          </w:tcPr>
          <w:p w14:paraId="70DDED7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广西壮族自治区人力资源和社会保障厅</w:t>
            </w:r>
          </w:p>
        </w:tc>
      </w:tr>
      <w:tr w14:paraId="70B47D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3A69CE22">
            <w:pPr>
              <w:ind w:left="27"/>
              <w:jc w:val="center"/>
              <w:rPr>
                <w:rFonts w:hint="eastAsia" w:ascii="宋体" w:hAnsi="宋体" w:eastAsia="宋体"/>
                <w:sz w:val="24"/>
                <w:szCs w:val="24"/>
              </w:rPr>
            </w:pPr>
          </w:p>
        </w:tc>
        <w:tc>
          <w:tcPr>
            <w:tcW w:w="1383" w:type="dxa"/>
            <w:noWrap w:val="0"/>
            <w:vAlign w:val="center"/>
          </w:tcPr>
          <w:p w14:paraId="7DBB150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2020年</w:t>
            </w:r>
          </w:p>
        </w:tc>
        <w:tc>
          <w:tcPr>
            <w:tcW w:w="3260" w:type="dxa"/>
            <w:noWrap w:val="0"/>
            <w:vAlign w:val="center"/>
          </w:tcPr>
          <w:p w14:paraId="5FB6DEB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广西职业院校教学能力大赛中职组混合式教学比赛</w:t>
            </w:r>
          </w:p>
        </w:tc>
        <w:tc>
          <w:tcPr>
            <w:tcW w:w="1166" w:type="dxa"/>
            <w:noWrap w:val="0"/>
            <w:vAlign w:val="center"/>
          </w:tcPr>
          <w:p w14:paraId="7B9B6BA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省部级三等奖</w:t>
            </w:r>
          </w:p>
        </w:tc>
        <w:tc>
          <w:tcPr>
            <w:tcW w:w="2216" w:type="dxa"/>
            <w:noWrap w:val="0"/>
            <w:vAlign w:val="center"/>
          </w:tcPr>
          <w:p w14:paraId="07CC7F9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526ACC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教育厅</w:t>
            </w:r>
          </w:p>
        </w:tc>
      </w:tr>
      <w:tr w14:paraId="4C0E81B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D6E62CB">
            <w:pPr>
              <w:ind w:left="27"/>
              <w:jc w:val="center"/>
              <w:rPr>
                <w:rFonts w:hint="eastAsia" w:ascii="宋体" w:hAnsi="宋体" w:eastAsia="宋体"/>
                <w:sz w:val="24"/>
                <w:szCs w:val="24"/>
              </w:rPr>
            </w:pPr>
          </w:p>
        </w:tc>
        <w:tc>
          <w:tcPr>
            <w:tcW w:w="1383" w:type="dxa"/>
            <w:shd w:val="clear" w:color="auto" w:fill="auto"/>
            <w:noWrap w:val="0"/>
            <w:vAlign w:val="center"/>
          </w:tcPr>
          <w:p w14:paraId="42C731A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2024年</w:t>
            </w:r>
          </w:p>
        </w:tc>
        <w:tc>
          <w:tcPr>
            <w:tcW w:w="3260" w:type="dxa"/>
            <w:shd w:val="clear" w:color="auto" w:fill="auto"/>
            <w:noWrap w:val="0"/>
            <w:vAlign w:val="center"/>
          </w:tcPr>
          <w:p w14:paraId="339963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广西职业院校教学能力大赛中职组混合式教学比赛</w:t>
            </w:r>
          </w:p>
        </w:tc>
        <w:tc>
          <w:tcPr>
            <w:tcW w:w="1166" w:type="dxa"/>
            <w:shd w:val="clear" w:color="auto" w:fill="auto"/>
            <w:noWrap w:val="0"/>
            <w:vAlign w:val="center"/>
          </w:tcPr>
          <w:p w14:paraId="5D19587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省部级三等奖</w:t>
            </w:r>
          </w:p>
        </w:tc>
        <w:tc>
          <w:tcPr>
            <w:tcW w:w="2216" w:type="dxa"/>
            <w:shd w:val="clear" w:color="auto" w:fill="auto"/>
            <w:noWrap w:val="0"/>
            <w:vAlign w:val="center"/>
          </w:tcPr>
          <w:p w14:paraId="48D1B35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6BC76B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教育厅</w:t>
            </w:r>
          </w:p>
        </w:tc>
      </w:tr>
      <w:tr w14:paraId="2034335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74ACFBD">
            <w:pPr>
              <w:ind w:left="27"/>
              <w:jc w:val="center"/>
              <w:rPr>
                <w:rFonts w:hint="eastAsia" w:ascii="宋体" w:hAnsi="宋体" w:eastAsia="宋体"/>
                <w:sz w:val="24"/>
                <w:szCs w:val="24"/>
              </w:rPr>
            </w:pPr>
          </w:p>
        </w:tc>
        <w:tc>
          <w:tcPr>
            <w:tcW w:w="1383" w:type="dxa"/>
            <w:noWrap w:val="0"/>
            <w:vAlign w:val="center"/>
          </w:tcPr>
          <w:p w14:paraId="7093D5F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2025年</w:t>
            </w:r>
          </w:p>
        </w:tc>
        <w:tc>
          <w:tcPr>
            <w:tcW w:w="3260" w:type="dxa"/>
            <w:noWrap w:val="0"/>
            <w:vAlign w:val="center"/>
          </w:tcPr>
          <w:p w14:paraId="22A1274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广西职业院校技能大赛</w:t>
            </w:r>
          </w:p>
          <w:p w14:paraId="380D1F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食品药品检验赛项</w:t>
            </w:r>
          </w:p>
        </w:tc>
        <w:tc>
          <w:tcPr>
            <w:tcW w:w="1166" w:type="dxa"/>
            <w:noWrap w:val="0"/>
            <w:vAlign w:val="center"/>
          </w:tcPr>
          <w:p w14:paraId="0FEEFDE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省部级三等奖</w:t>
            </w:r>
          </w:p>
        </w:tc>
        <w:tc>
          <w:tcPr>
            <w:tcW w:w="2216" w:type="dxa"/>
            <w:noWrap w:val="0"/>
            <w:vAlign w:val="center"/>
          </w:tcPr>
          <w:p w14:paraId="7239115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广西壮族自治区</w:t>
            </w:r>
          </w:p>
          <w:p w14:paraId="5096C7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教育厅</w:t>
            </w:r>
          </w:p>
        </w:tc>
      </w:tr>
      <w:tr w14:paraId="695516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945B58E">
            <w:pPr>
              <w:ind w:left="27"/>
              <w:jc w:val="center"/>
              <w:rPr>
                <w:rFonts w:hint="eastAsia" w:ascii="宋体" w:hAnsi="宋体" w:eastAsia="宋体"/>
                <w:sz w:val="24"/>
                <w:szCs w:val="24"/>
              </w:rPr>
            </w:pPr>
          </w:p>
        </w:tc>
        <w:tc>
          <w:tcPr>
            <w:tcW w:w="1383" w:type="dxa"/>
            <w:noWrap w:val="0"/>
            <w:vAlign w:val="center"/>
          </w:tcPr>
          <w:p w14:paraId="1B8A05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2021年</w:t>
            </w:r>
          </w:p>
        </w:tc>
        <w:tc>
          <w:tcPr>
            <w:tcW w:w="3260" w:type="dxa"/>
            <w:noWrap w:val="0"/>
            <w:vAlign w:val="center"/>
          </w:tcPr>
          <w:p w14:paraId="661151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广西技工院校学生创新创业选拔赛</w:t>
            </w:r>
          </w:p>
        </w:tc>
        <w:tc>
          <w:tcPr>
            <w:tcW w:w="1166" w:type="dxa"/>
            <w:shd w:val="clear" w:color="auto" w:fill="auto"/>
            <w:noWrap w:val="0"/>
            <w:vAlign w:val="center"/>
          </w:tcPr>
          <w:p w14:paraId="59924C8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省部级三等奖</w:t>
            </w:r>
          </w:p>
        </w:tc>
        <w:tc>
          <w:tcPr>
            <w:tcW w:w="2216" w:type="dxa"/>
            <w:shd w:val="clear" w:color="auto" w:fill="auto"/>
            <w:noWrap w:val="0"/>
            <w:vAlign w:val="center"/>
          </w:tcPr>
          <w:p w14:paraId="089E102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广西壮族自治区人力资源和社会保障厅</w:t>
            </w:r>
          </w:p>
        </w:tc>
      </w:tr>
      <w:tr w14:paraId="2F2B69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3C3F5E26">
            <w:pPr>
              <w:ind w:left="27"/>
              <w:jc w:val="center"/>
              <w:rPr>
                <w:rFonts w:hint="eastAsia" w:ascii="宋体" w:hAnsi="宋体" w:eastAsia="宋体"/>
                <w:sz w:val="24"/>
                <w:szCs w:val="24"/>
              </w:rPr>
            </w:pPr>
          </w:p>
        </w:tc>
        <w:tc>
          <w:tcPr>
            <w:tcW w:w="1383" w:type="dxa"/>
            <w:shd w:val="clear" w:color="auto" w:fill="auto"/>
            <w:noWrap w:val="0"/>
            <w:vAlign w:val="center"/>
          </w:tcPr>
          <w:p w14:paraId="5A2FDE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2022年</w:t>
            </w:r>
          </w:p>
        </w:tc>
        <w:tc>
          <w:tcPr>
            <w:tcW w:w="3260" w:type="dxa"/>
            <w:shd w:val="clear" w:color="auto" w:fill="auto"/>
            <w:noWrap w:val="0"/>
            <w:vAlign w:val="center"/>
          </w:tcPr>
          <w:p w14:paraId="2BB0B09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广西科学技术成果一项</w:t>
            </w:r>
          </w:p>
        </w:tc>
        <w:tc>
          <w:tcPr>
            <w:tcW w:w="1166" w:type="dxa"/>
            <w:shd w:val="clear" w:color="auto" w:fill="auto"/>
            <w:noWrap w:val="0"/>
            <w:vAlign w:val="center"/>
          </w:tcPr>
          <w:p w14:paraId="193B08FA">
            <w:pPr>
              <w:keepNext w:val="0"/>
              <w:keepLines w:val="0"/>
              <w:pageBreakBefore w:val="0"/>
              <w:widowControl w:val="0"/>
              <w:tabs>
                <w:tab w:val="left" w:pos="355"/>
              </w:tabs>
              <w:kinsoku/>
              <w:wordWrap/>
              <w:overflowPunct/>
              <w:topLinePunct w:val="0"/>
              <w:autoSpaceDE/>
              <w:autoSpaceDN/>
              <w:bidi w:val="0"/>
              <w:adjustRightInd/>
              <w:snapToGrid/>
              <w:spacing w:line="400" w:lineRule="exact"/>
              <w:jc w:val="left"/>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省部级</w:t>
            </w:r>
          </w:p>
        </w:tc>
        <w:tc>
          <w:tcPr>
            <w:tcW w:w="2216" w:type="dxa"/>
            <w:shd w:val="clear" w:color="auto" w:fill="auto"/>
            <w:noWrap w:val="0"/>
            <w:vAlign w:val="center"/>
          </w:tcPr>
          <w:p w14:paraId="2F53B2A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广西壮族自治区科学技术情报研究所</w:t>
            </w:r>
          </w:p>
        </w:tc>
      </w:tr>
      <w:tr w14:paraId="6C9C43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2059F597">
            <w:pPr>
              <w:ind w:left="27"/>
              <w:jc w:val="center"/>
              <w:rPr>
                <w:rFonts w:hint="eastAsia" w:ascii="宋体" w:hAnsi="宋体" w:eastAsia="宋体"/>
                <w:sz w:val="24"/>
                <w:szCs w:val="24"/>
              </w:rPr>
            </w:pPr>
          </w:p>
        </w:tc>
        <w:tc>
          <w:tcPr>
            <w:tcW w:w="1383" w:type="dxa"/>
            <w:shd w:val="clear" w:color="auto" w:fill="auto"/>
            <w:noWrap w:val="0"/>
            <w:vAlign w:val="center"/>
          </w:tcPr>
          <w:p w14:paraId="60994B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2021年</w:t>
            </w:r>
          </w:p>
        </w:tc>
        <w:tc>
          <w:tcPr>
            <w:tcW w:w="3260" w:type="dxa"/>
            <w:shd w:val="clear" w:color="auto" w:fill="auto"/>
            <w:noWrap w:val="0"/>
            <w:vAlign w:val="center"/>
          </w:tcPr>
          <w:p w14:paraId="3376335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科创中国广西”企业创新达人</w:t>
            </w:r>
          </w:p>
        </w:tc>
        <w:tc>
          <w:tcPr>
            <w:tcW w:w="1166" w:type="dxa"/>
            <w:shd w:val="clear" w:color="auto" w:fill="auto"/>
            <w:noWrap w:val="0"/>
            <w:vAlign w:val="center"/>
          </w:tcPr>
          <w:p w14:paraId="1F82619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w:t>
            </w:r>
          </w:p>
        </w:tc>
        <w:tc>
          <w:tcPr>
            <w:tcW w:w="2216" w:type="dxa"/>
            <w:shd w:val="clear" w:color="auto" w:fill="auto"/>
            <w:noWrap w:val="0"/>
            <w:vAlign w:val="center"/>
          </w:tcPr>
          <w:p w14:paraId="7EDDDDB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广西科学技术协会</w:t>
            </w:r>
          </w:p>
        </w:tc>
      </w:tr>
      <w:tr w14:paraId="697042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21940D3D">
            <w:pPr>
              <w:ind w:left="27"/>
              <w:jc w:val="center"/>
              <w:rPr>
                <w:rFonts w:hint="eastAsia" w:ascii="宋体" w:hAnsi="宋体" w:eastAsia="宋体"/>
                <w:sz w:val="24"/>
                <w:szCs w:val="24"/>
              </w:rPr>
            </w:pPr>
          </w:p>
        </w:tc>
        <w:tc>
          <w:tcPr>
            <w:tcW w:w="1383" w:type="dxa"/>
            <w:shd w:val="clear" w:color="auto" w:fill="auto"/>
            <w:noWrap w:val="0"/>
            <w:vAlign w:val="center"/>
          </w:tcPr>
          <w:p w14:paraId="028937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2020年</w:t>
            </w:r>
          </w:p>
        </w:tc>
        <w:tc>
          <w:tcPr>
            <w:tcW w:w="3260" w:type="dxa"/>
            <w:shd w:val="clear" w:color="auto" w:fill="auto"/>
            <w:noWrap w:val="0"/>
            <w:vAlign w:val="center"/>
          </w:tcPr>
          <w:p w14:paraId="4265B27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五一劳动奖章</w:t>
            </w:r>
          </w:p>
        </w:tc>
        <w:tc>
          <w:tcPr>
            <w:tcW w:w="1166" w:type="dxa"/>
            <w:shd w:val="clear" w:color="auto" w:fill="auto"/>
            <w:noWrap w:val="0"/>
            <w:vAlign w:val="center"/>
          </w:tcPr>
          <w:p w14:paraId="564B4B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w:t>
            </w:r>
          </w:p>
        </w:tc>
        <w:tc>
          <w:tcPr>
            <w:tcW w:w="2216" w:type="dxa"/>
            <w:shd w:val="clear" w:color="auto" w:fill="auto"/>
            <w:noWrap w:val="0"/>
            <w:vAlign w:val="center"/>
          </w:tcPr>
          <w:p w14:paraId="4F5F86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广西总工会</w:t>
            </w:r>
          </w:p>
        </w:tc>
      </w:tr>
      <w:tr w14:paraId="3184A23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2C97A76">
            <w:pPr>
              <w:ind w:left="27"/>
              <w:jc w:val="center"/>
              <w:rPr>
                <w:rFonts w:hint="eastAsia" w:ascii="宋体" w:hAnsi="宋体" w:eastAsia="宋体"/>
                <w:sz w:val="24"/>
                <w:szCs w:val="24"/>
              </w:rPr>
            </w:pPr>
          </w:p>
        </w:tc>
        <w:tc>
          <w:tcPr>
            <w:tcW w:w="1383" w:type="dxa"/>
            <w:shd w:val="clear" w:color="auto" w:fill="auto"/>
            <w:noWrap w:val="0"/>
            <w:vAlign w:val="center"/>
          </w:tcPr>
          <w:p w14:paraId="32D2337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2017年</w:t>
            </w:r>
          </w:p>
        </w:tc>
        <w:tc>
          <w:tcPr>
            <w:tcW w:w="3260" w:type="dxa"/>
            <w:shd w:val="clear" w:color="auto" w:fill="auto"/>
            <w:noWrap w:val="0"/>
            <w:vAlign w:val="center"/>
          </w:tcPr>
          <w:p w14:paraId="5AB0BE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第六届广西发明创造成果展览交易会金奖</w:t>
            </w:r>
          </w:p>
        </w:tc>
        <w:tc>
          <w:tcPr>
            <w:tcW w:w="1166" w:type="dxa"/>
            <w:shd w:val="clear" w:color="auto" w:fill="auto"/>
            <w:noWrap w:val="0"/>
            <w:vAlign w:val="center"/>
          </w:tcPr>
          <w:p w14:paraId="4BC4DC7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w:t>
            </w:r>
          </w:p>
        </w:tc>
        <w:tc>
          <w:tcPr>
            <w:tcW w:w="2216" w:type="dxa"/>
            <w:shd w:val="clear" w:color="auto" w:fill="auto"/>
            <w:noWrap w:val="0"/>
            <w:vAlign w:val="center"/>
          </w:tcPr>
          <w:p w14:paraId="1E33A0F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广西发明创造成果展览交易会组织委员会</w:t>
            </w:r>
          </w:p>
        </w:tc>
      </w:tr>
      <w:tr w14:paraId="352A28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52F69A7A">
            <w:pPr>
              <w:ind w:left="27"/>
              <w:jc w:val="center"/>
              <w:rPr>
                <w:rFonts w:hint="eastAsia" w:ascii="宋体" w:hAnsi="宋体" w:eastAsia="宋体"/>
                <w:sz w:val="24"/>
                <w:szCs w:val="24"/>
              </w:rPr>
            </w:pPr>
          </w:p>
        </w:tc>
        <w:tc>
          <w:tcPr>
            <w:tcW w:w="1383" w:type="dxa"/>
            <w:shd w:val="clear" w:color="auto" w:fill="auto"/>
            <w:noWrap w:val="0"/>
            <w:vAlign w:val="center"/>
          </w:tcPr>
          <w:p w14:paraId="25156F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2019年</w:t>
            </w:r>
          </w:p>
        </w:tc>
        <w:tc>
          <w:tcPr>
            <w:tcW w:w="3260" w:type="dxa"/>
            <w:shd w:val="clear" w:color="auto" w:fill="auto"/>
            <w:noWrap w:val="0"/>
            <w:vAlign w:val="center"/>
          </w:tcPr>
          <w:p w14:paraId="1421A40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广西科学技术成果一项</w:t>
            </w:r>
          </w:p>
        </w:tc>
        <w:tc>
          <w:tcPr>
            <w:tcW w:w="1166" w:type="dxa"/>
            <w:shd w:val="clear" w:color="auto" w:fill="auto"/>
            <w:noWrap w:val="0"/>
            <w:vAlign w:val="center"/>
          </w:tcPr>
          <w:p w14:paraId="4B441F4B">
            <w:pPr>
              <w:keepNext w:val="0"/>
              <w:keepLines w:val="0"/>
              <w:pageBreakBefore w:val="0"/>
              <w:widowControl w:val="0"/>
              <w:tabs>
                <w:tab w:val="left" w:pos="355"/>
              </w:tabs>
              <w:kinsoku/>
              <w:wordWrap/>
              <w:overflowPunct/>
              <w:topLinePunct w:val="0"/>
              <w:autoSpaceDE/>
              <w:autoSpaceDN/>
              <w:bidi w:val="0"/>
              <w:adjustRightInd/>
              <w:snapToGrid/>
              <w:spacing w:line="400" w:lineRule="exact"/>
              <w:jc w:val="left"/>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省部级</w:t>
            </w:r>
          </w:p>
        </w:tc>
        <w:tc>
          <w:tcPr>
            <w:tcW w:w="2216" w:type="dxa"/>
            <w:shd w:val="clear" w:color="auto" w:fill="auto"/>
            <w:noWrap w:val="0"/>
            <w:vAlign w:val="center"/>
          </w:tcPr>
          <w:p w14:paraId="08EC863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广西壮族自治区科学技术情报研究所</w:t>
            </w:r>
          </w:p>
        </w:tc>
      </w:tr>
      <w:tr w14:paraId="38912D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F62E926">
            <w:pPr>
              <w:ind w:left="27"/>
              <w:jc w:val="center"/>
              <w:rPr>
                <w:rFonts w:hint="eastAsia" w:ascii="宋体" w:hAnsi="宋体" w:eastAsia="宋体"/>
                <w:sz w:val="24"/>
                <w:szCs w:val="24"/>
              </w:rPr>
            </w:pPr>
          </w:p>
        </w:tc>
        <w:tc>
          <w:tcPr>
            <w:tcW w:w="1383" w:type="dxa"/>
            <w:shd w:val="clear" w:color="auto" w:fill="auto"/>
            <w:noWrap w:val="0"/>
            <w:vAlign w:val="center"/>
          </w:tcPr>
          <w:p w14:paraId="562CCE7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cs="Times New Roman"/>
                <w:kern w:val="2"/>
                <w:sz w:val="24"/>
                <w:szCs w:val="24"/>
                <w:lang w:val="en-US" w:eastAsia="zh-CN" w:bidi="ar-SA"/>
              </w:rPr>
            </w:pPr>
            <w:r>
              <w:rPr>
                <w:rFonts w:hint="eastAsia" w:ascii="宋体" w:hAnsi="宋体" w:eastAsia="宋体"/>
                <w:sz w:val="24"/>
                <w:szCs w:val="24"/>
                <w:lang w:val="en-US" w:eastAsia="zh-CN"/>
              </w:rPr>
              <w:t>2020年</w:t>
            </w:r>
          </w:p>
        </w:tc>
        <w:tc>
          <w:tcPr>
            <w:tcW w:w="3260" w:type="dxa"/>
            <w:shd w:val="clear" w:color="auto" w:fill="auto"/>
            <w:noWrap w:val="0"/>
            <w:vAlign w:val="center"/>
          </w:tcPr>
          <w:p w14:paraId="0DA9641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南宁市国家知识产权一项</w:t>
            </w:r>
          </w:p>
        </w:tc>
        <w:tc>
          <w:tcPr>
            <w:tcW w:w="1166" w:type="dxa"/>
            <w:shd w:val="clear" w:color="auto" w:fill="auto"/>
            <w:noWrap w:val="0"/>
            <w:vAlign w:val="center"/>
          </w:tcPr>
          <w:p w14:paraId="3051B0D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市级</w:t>
            </w:r>
          </w:p>
        </w:tc>
        <w:tc>
          <w:tcPr>
            <w:tcW w:w="2216" w:type="dxa"/>
            <w:shd w:val="clear" w:color="auto" w:fill="auto"/>
            <w:noWrap w:val="0"/>
            <w:vAlign w:val="center"/>
          </w:tcPr>
          <w:p w14:paraId="37F6E1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南宁市市场监督</w:t>
            </w:r>
          </w:p>
          <w:p w14:paraId="11EBADC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4"/>
                <w:szCs w:val="24"/>
                <w:lang w:val="en-US" w:eastAsia="zh-CN" w:bidi="ar-SA"/>
              </w:rPr>
            </w:pPr>
            <w:r>
              <w:rPr>
                <w:rFonts w:hint="eastAsia" w:ascii="宋体" w:hAnsi="宋体" w:eastAsia="宋体"/>
                <w:sz w:val="24"/>
                <w:szCs w:val="24"/>
                <w:lang w:val="en-US" w:eastAsia="zh-CN"/>
              </w:rPr>
              <w:t>管理局</w:t>
            </w:r>
          </w:p>
        </w:tc>
      </w:tr>
      <w:tr w14:paraId="1183A9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B95E373">
            <w:pPr>
              <w:ind w:left="27"/>
              <w:jc w:val="center"/>
              <w:rPr>
                <w:rFonts w:hint="eastAsia" w:ascii="宋体" w:hAnsi="宋体" w:eastAsia="宋体"/>
                <w:sz w:val="24"/>
                <w:szCs w:val="24"/>
              </w:rPr>
            </w:pPr>
          </w:p>
        </w:tc>
        <w:tc>
          <w:tcPr>
            <w:tcW w:w="1383" w:type="dxa"/>
            <w:shd w:val="clear" w:color="auto" w:fill="auto"/>
            <w:noWrap w:val="0"/>
            <w:vAlign w:val="center"/>
          </w:tcPr>
          <w:p w14:paraId="2A35EF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2020年</w:t>
            </w:r>
          </w:p>
        </w:tc>
        <w:tc>
          <w:tcPr>
            <w:tcW w:w="3260" w:type="dxa"/>
            <w:shd w:val="clear" w:color="auto" w:fill="auto"/>
            <w:noWrap w:val="0"/>
            <w:vAlign w:val="center"/>
          </w:tcPr>
          <w:p w14:paraId="7F1D895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第四届梧州市市长质量奖先进个人</w:t>
            </w:r>
          </w:p>
        </w:tc>
        <w:tc>
          <w:tcPr>
            <w:tcW w:w="1166" w:type="dxa"/>
            <w:shd w:val="clear" w:color="auto" w:fill="auto"/>
            <w:noWrap w:val="0"/>
            <w:vAlign w:val="center"/>
          </w:tcPr>
          <w:p w14:paraId="4BE125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市级</w:t>
            </w:r>
          </w:p>
        </w:tc>
        <w:tc>
          <w:tcPr>
            <w:tcW w:w="2216" w:type="dxa"/>
            <w:shd w:val="clear" w:color="auto" w:fill="auto"/>
            <w:noWrap w:val="0"/>
            <w:vAlign w:val="center"/>
          </w:tcPr>
          <w:p w14:paraId="039077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梧州市人民政府</w:t>
            </w:r>
          </w:p>
        </w:tc>
      </w:tr>
      <w:tr w14:paraId="214F02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4D68527B">
            <w:pPr>
              <w:ind w:left="27"/>
              <w:jc w:val="center"/>
              <w:rPr>
                <w:rFonts w:hint="eastAsia" w:ascii="宋体" w:hAnsi="宋体" w:eastAsia="宋体"/>
                <w:sz w:val="24"/>
                <w:szCs w:val="24"/>
              </w:rPr>
            </w:pPr>
          </w:p>
        </w:tc>
        <w:tc>
          <w:tcPr>
            <w:tcW w:w="1383" w:type="dxa"/>
            <w:shd w:val="clear" w:color="auto" w:fill="auto"/>
            <w:noWrap w:val="0"/>
            <w:vAlign w:val="center"/>
          </w:tcPr>
          <w:p w14:paraId="754AAC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2019年</w:t>
            </w:r>
          </w:p>
        </w:tc>
        <w:tc>
          <w:tcPr>
            <w:tcW w:w="3260" w:type="dxa"/>
            <w:shd w:val="clear" w:color="auto" w:fill="auto"/>
            <w:noWrap w:val="0"/>
            <w:vAlign w:val="center"/>
          </w:tcPr>
          <w:p w14:paraId="32D8689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五一劳动奖章</w:t>
            </w:r>
          </w:p>
        </w:tc>
        <w:tc>
          <w:tcPr>
            <w:tcW w:w="1166" w:type="dxa"/>
            <w:shd w:val="clear" w:color="auto" w:fill="auto"/>
            <w:noWrap w:val="0"/>
            <w:vAlign w:val="center"/>
          </w:tcPr>
          <w:p w14:paraId="1642751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市级</w:t>
            </w:r>
          </w:p>
        </w:tc>
        <w:tc>
          <w:tcPr>
            <w:tcW w:w="2216" w:type="dxa"/>
            <w:shd w:val="clear" w:color="auto" w:fill="auto"/>
            <w:noWrap w:val="0"/>
            <w:vAlign w:val="center"/>
          </w:tcPr>
          <w:p w14:paraId="5F96AA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梧州市总工会</w:t>
            </w:r>
          </w:p>
        </w:tc>
      </w:tr>
      <w:tr w14:paraId="6C941B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39E4B7F7">
            <w:pPr>
              <w:ind w:left="27"/>
              <w:jc w:val="center"/>
              <w:rPr>
                <w:rFonts w:hint="eastAsia" w:ascii="宋体" w:hAnsi="宋体" w:eastAsia="宋体"/>
                <w:sz w:val="24"/>
                <w:szCs w:val="24"/>
              </w:rPr>
            </w:pPr>
          </w:p>
        </w:tc>
        <w:tc>
          <w:tcPr>
            <w:tcW w:w="1383" w:type="dxa"/>
            <w:shd w:val="clear" w:color="auto" w:fill="auto"/>
            <w:noWrap w:val="0"/>
            <w:vAlign w:val="center"/>
          </w:tcPr>
          <w:p w14:paraId="5172B47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2017年</w:t>
            </w:r>
          </w:p>
        </w:tc>
        <w:tc>
          <w:tcPr>
            <w:tcW w:w="3260" w:type="dxa"/>
            <w:shd w:val="clear" w:color="auto" w:fill="auto"/>
            <w:noWrap w:val="0"/>
            <w:vAlign w:val="center"/>
          </w:tcPr>
          <w:p w14:paraId="0166E0E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梧州市科学技术进步奖特别贡献奖</w:t>
            </w:r>
          </w:p>
        </w:tc>
        <w:tc>
          <w:tcPr>
            <w:tcW w:w="1166" w:type="dxa"/>
            <w:shd w:val="clear" w:color="auto" w:fill="auto"/>
            <w:noWrap w:val="0"/>
            <w:vAlign w:val="center"/>
          </w:tcPr>
          <w:p w14:paraId="23A39B5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市级</w:t>
            </w:r>
          </w:p>
        </w:tc>
        <w:tc>
          <w:tcPr>
            <w:tcW w:w="2216" w:type="dxa"/>
            <w:shd w:val="clear" w:color="auto" w:fill="auto"/>
            <w:noWrap w:val="0"/>
            <w:vAlign w:val="center"/>
          </w:tcPr>
          <w:p w14:paraId="086FEE8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梧州市人民政府</w:t>
            </w:r>
          </w:p>
        </w:tc>
      </w:tr>
      <w:tr w14:paraId="424230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vMerge w:val="continue"/>
            <w:noWrap w:val="0"/>
            <w:vAlign w:val="center"/>
          </w:tcPr>
          <w:p w14:paraId="78A46B8D">
            <w:pPr>
              <w:ind w:left="27"/>
              <w:jc w:val="center"/>
              <w:rPr>
                <w:rFonts w:hint="eastAsia" w:ascii="宋体" w:hAnsi="宋体" w:eastAsia="宋体"/>
                <w:sz w:val="24"/>
                <w:szCs w:val="24"/>
              </w:rPr>
            </w:pPr>
          </w:p>
        </w:tc>
        <w:tc>
          <w:tcPr>
            <w:tcW w:w="1383" w:type="dxa"/>
            <w:shd w:val="clear" w:color="auto" w:fill="auto"/>
            <w:noWrap w:val="0"/>
            <w:vAlign w:val="center"/>
          </w:tcPr>
          <w:p w14:paraId="0A5EB7E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eastAsia="宋体"/>
                <w:sz w:val="24"/>
                <w:szCs w:val="24"/>
                <w:lang w:val="en-US" w:eastAsia="zh-CN"/>
              </w:rPr>
            </w:pPr>
            <w:r>
              <w:rPr>
                <w:rFonts w:hint="eastAsia" w:ascii="宋体" w:hAnsi="宋体" w:eastAsia="宋体"/>
                <w:sz w:val="24"/>
                <w:szCs w:val="24"/>
                <w:lang w:val="en-US" w:eastAsia="zh-CN"/>
              </w:rPr>
              <w:t>2016年</w:t>
            </w:r>
          </w:p>
        </w:tc>
        <w:tc>
          <w:tcPr>
            <w:tcW w:w="3260" w:type="dxa"/>
            <w:shd w:val="clear" w:color="auto" w:fill="auto"/>
            <w:noWrap w:val="0"/>
            <w:vAlign w:val="center"/>
          </w:tcPr>
          <w:p w14:paraId="053A18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梧州市自然科学优秀学术论文二等奖</w:t>
            </w:r>
          </w:p>
        </w:tc>
        <w:tc>
          <w:tcPr>
            <w:tcW w:w="1166" w:type="dxa"/>
            <w:shd w:val="clear" w:color="auto" w:fill="auto"/>
            <w:noWrap w:val="0"/>
            <w:vAlign w:val="center"/>
          </w:tcPr>
          <w:p w14:paraId="65CC9E0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市级</w:t>
            </w:r>
          </w:p>
        </w:tc>
        <w:tc>
          <w:tcPr>
            <w:tcW w:w="2216" w:type="dxa"/>
            <w:shd w:val="clear" w:color="auto" w:fill="auto"/>
            <w:noWrap w:val="0"/>
            <w:vAlign w:val="center"/>
          </w:tcPr>
          <w:p w14:paraId="732C7E8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sz w:val="24"/>
                <w:szCs w:val="24"/>
                <w:lang w:val="en-US" w:eastAsia="zh-CN"/>
              </w:rPr>
            </w:pPr>
            <w:r>
              <w:rPr>
                <w:rFonts w:hint="eastAsia" w:ascii="宋体" w:hAnsi="宋体" w:eastAsia="宋体"/>
                <w:sz w:val="24"/>
                <w:szCs w:val="24"/>
                <w:lang w:val="en-US" w:eastAsia="zh-CN"/>
              </w:rPr>
              <w:t>梧州市科学技术协会</w:t>
            </w:r>
          </w:p>
        </w:tc>
      </w:tr>
      <w:tr w14:paraId="700FFC0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1102" w:type="dxa"/>
            <w:noWrap w:val="0"/>
            <w:vAlign w:val="center"/>
          </w:tcPr>
          <w:p w14:paraId="56312462">
            <w:pPr>
              <w:ind w:left="27"/>
              <w:jc w:val="center"/>
              <w:rPr>
                <w:rFonts w:hint="eastAsia" w:ascii="宋体" w:hAnsi="宋体" w:eastAsia="宋体"/>
                <w:sz w:val="24"/>
                <w:szCs w:val="24"/>
              </w:rPr>
            </w:pPr>
            <w:r>
              <w:rPr>
                <w:rFonts w:hint="eastAsia" w:ascii="宋体" w:hAnsi="宋体" w:eastAsia="宋体"/>
                <w:sz w:val="24"/>
                <w:szCs w:val="24"/>
              </w:rPr>
              <w:t>成果</w:t>
            </w:r>
          </w:p>
          <w:p w14:paraId="6712A34E">
            <w:pPr>
              <w:ind w:left="27"/>
              <w:jc w:val="center"/>
              <w:rPr>
                <w:rFonts w:hint="eastAsia" w:ascii="宋体" w:hAnsi="宋体" w:eastAsia="宋体"/>
                <w:sz w:val="24"/>
                <w:szCs w:val="24"/>
              </w:rPr>
            </w:pPr>
            <w:r>
              <w:rPr>
                <w:rFonts w:hint="eastAsia" w:ascii="宋体" w:hAnsi="宋体" w:eastAsia="宋体"/>
                <w:sz w:val="24"/>
                <w:szCs w:val="24"/>
              </w:rPr>
              <w:t>起止</w:t>
            </w:r>
          </w:p>
          <w:p w14:paraId="4B5768B2">
            <w:pPr>
              <w:ind w:left="27"/>
              <w:jc w:val="center"/>
              <w:rPr>
                <w:rFonts w:hint="eastAsia" w:ascii="宋体" w:hAnsi="宋体" w:eastAsia="宋体"/>
                <w:sz w:val="24"/>
                <w:szCs w:val="24"/>
              </w:rPr>
            </w:pPr>
            <w:r>
              <w:rPr>
                <w:rFonts w:hint="eastAsia" w:ascii="宋体" w:hAnsi="宋体" w:eastAsia="宋体"/>
                <w:sz w:val="24"/>
                <w:szCs w:val="24"/>
              </w:rPr>
              <w:t>时间</w:t>
            </w:r>
          </w:p>
          <w:p w14:paraId="492B71C4">
            <w:pPr>
              <w:ind w:left="27"/>
              <w:jc w:val="center"/>
              <w:rPr>
                <w:rFonts w:hint="eastAsia" w:ascii="宋体" w:hAnsi="宋体" w:eastAsia="宋体"/>
                <w:sz w:val="24"/>
                <w:szCs w:val="24"/>
              </w:rPr>
            </w:pPr>
          </w:p>
        </w:tc>
        <w:tc>
          <w:tcPr>
            <w:tcW w:w="8025" w:type="dxa"/>
            <w:gridSpan w:val="4"/>
            <w:noWrap w:val="0"/>
            <w:vAlign w:val="center"/>
          </w:tcPr>
          <w:p w14:paraId="640AD5BD">
            <w:pPr>
              <w:ind w:left="27" w:firstLine="120"/>
              <w:rPr>
                <w:rFonts w:hint="eastAsia" w:ascii="宋体" w:hAnsi="宋体" w:eastAsia="宋体"/>
                <w:sz w:val="24"/>
                <w:szCs w:val="24"/>
              </w:rPr>
            </w:pPr>
            <w:r>
              <w:rPr>
                <w:rFonts w:hint="eastAsia" w:ascii="宋体" w:hAnsi="宋体" w:eastAsia="宋体"/>
                <w:sz w:val="24"/>
                <w:szCs w:val="24"/>
              </w:rPr>
              <w:t>起始：</w:t>
            </w:r>
            <w:r>
              <w:rPr>
                <w:rFonts w:hint="eastAsia" w:ascii="宋体" w:hAnsi="宋体" w:eastAsia="宋体"/>
                <w:sz w:val="24"/>
                <w:szCs w:val="24"/>
                <w:lang w:val="en-US" w:eastAsia="zh-CN"/>
              </w:rPr>
              <w:t>2012</w:t>
            </w:r>
            <w:r>
              <w:rPr>
                <w:rFonts w:hint="eastAsia" w:ascii="宋体" w:hAnsi="宋体" w:eastAsia="宋体"/>
                <w:sz w:val="24"/>
                <w:szCs w:val="24"/>
              </w:rPr>
              <w:t>年</w:t>
            </w:r>
            <w:r>
              <w:rPr>
                <w:rFonts w:hint="eastAsia" w:ascii="宋体" w:hAnsi="宋体" w:eastAsia="宋体"/>
                <w:sz w:val="24"/>
                <w:szCs w:val="24"/>
                <w:lang w:val="en-US" w:eastAsia="zh-CN"/>
              </w:rPr>
              <w:t>7</w:t>
            </w:r>
            <w:r>
              <w:rPr>
                <w:rFonts w:hint="eastAsia" w:ascii="宋体" w:hAnsi="宋体" w:eastAsia="宋体"/>
                <w:sz w:val="24"/>
                <w:szCs w:val="24"/>
              </w:rPr>
              <w:t>月</w:t>
            </w:r>
            <w:r>
              <w:rPr>
                <w:rFonts w:hint="eastAsia" w:ascii="宋体" w:hAnsi="宋体" w:eastAsia="宋体"/>
                <w:sz w:val="24"/>
                <w:szCs w:val="24"/>
                <w:lang w:val="en-US" w:eastAsia="zh-CN"/>
              </w:rPr>
              <w:t xml:space="preserve">           </w:t>
            </w:r>
            <w:r>
              <w:rPr>
                <w:rFonts w:hint="eastAsia" w:ascii="宋体" w:hAnsi="宋体" w:eastAsia="宋体"/>
                <w:sz w:val="24"/>
                <w:szCs w:val="24"/>
              </w:rPr>
              <w:t>实践检验起始时间：</w:t>
            </w:r>
            <w:r>
              <w:rPr>
                <w:rFonts w:hint="eastAsia" w:ascii="宋体" w:hAnsi="宋体" w:eastAsia="宋体"/>
                <w:sz w:val="24"/>
                <w:szCs w:val="24"/>
                <w:lang w:val="en-US" w:eastAsia="zh-CN"/>
              </w:rPr>
              <w:t>2015</w:t>
            </w:r>
            <w:r>
              <w:rPr>
                <w:rFonts w:hint="eastAsia" w:ascii="宋体" w:hAnsi="宋体" w:eastAsia="宋体"/>
                <w:sz w:val="24"/>
                <w:szCs w:val="24"/>
              </w:rPr>
              <w:t>年</w:t>
            </w:r>
            <w:r>
              <w:rPr>
                <w:rFonts w:hint="eastAsia" w:ascii="宋体" w:hAnsi="宋体" w:eastAsia="宋体"/>
                <w:sz w:val="24"/>
                <w:szCs w:val="24"/>
                <w:lang w:val="en-US" w:eastAsia="zh-CN"/>
              </w:rPr>
              <w:t>7</w:t>
            </w:r>
            <w:r>
              <w:rPr>
                <w:rFonts w:hint="eastAsia" w:ascii="宋体" w:hAnsi="宋体" w:eastAsia="宋体"/>
                <w:sz w:val="24"/>
                <w:szCs w:val="24"/>
              </w:rPr>
              <w:t>月</w:t>
            </w:r>
          </w:p>
          <w:p w14:paraId="113679CC">
            <w:pPr>
              <w:ind w:left="27" w:firstLine="120"/>
              <w:rPr>
                <w:rFonts w:hint="eastAsia" w:ascii="宋体" w:hAnsi="宋体" w:eastAsia="宋体"/>
                <w:sz w:val="24"/>
                <w:szCs w:val="24"/>
              </w:rPr>
            </w:pPr>
            <w:r>
              <w:rPr>
                <w:rFonts w:hint="eastAsia" w:ascii="宋体" w:hAnsi="宋体" w:eastAsia="宋体"/>
                <w:sz w:val="24"/>
                <w:szCs w:val="24"/>
              </w:rPr>
              <w:t>完成：</w:t>
            </w:r>
            <w:r>
              <w:rPr>
                <w:rFonts w:hint="eastAsia" w:ascii="宋体" w:hAnsi="宋体" w:eastAsia="宋体"/>
                <w:sz w:val="24"/>
                <w:szCs w:val="24"/>
                <w:lang w:val="en-US" w:eastAsia="zh-CN"/>
              </w:rPr>
              <w:t>2015</w:t>
            </w:r>
            <w:r>
              <w:rPr>
                <w:rFonts w:hint="eastAsia" w:ascii="宋体" w:hAnsi="宋体" w:eastAsia="宋体"/>
                <w:sz w:val="24"/>
                <w:szCs w:val="24"/>
              </w:rPr>
              <w:t>年</w:t>
            </w:r>
            <w:r>
              <w:rPr>
                <w:rFonts w:hint="eastAsia" w:ascii="宋体" w:hAnsi="宋体" w:eastAsia="宋体"/>
                <w:sz w:val="24"/>
                <w:szCs w:val="24"/>
                <w:lang w:val="en-US" w:eastAsia="zh-CN"/>
              </w:rPr>
              <w:t>6</w:t>
            </w:r>
            <w:r>
              <w:rPr>
                <w:rFonts w:hint="eastAsia" w:ascii="宋体" w:hAnsi="宋体" w:eastAsia="宋体"/>
                <w:sz w:val="24"/>
                <w:szCs w:val="24"/>
              </w:rPr>
              <w:t>月</w:t>
            </w:r>
          </w:p>
        </w:tc>
      </w:tr>
      <w:tr w14:paraId="291FBA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27" w:type="dxa"/>
            <w:gridSpan w:val="5"/>
            <w:noWrap w:val="0"/>
            <w:vAlign w:val="top"/>
          </w:tcPr>
          <w:p w14:paraId="65B45761">
            <w:pPr>
              <w:keepNext w:val="0"/>
              <w:keepLines w:val="0"/>
              <w:pageBreakBefore w:val="0"/>
              <w:kinsoku/>
              <w:wordWrap/>
              <w:overflowPunct/>
              <w:topLinePunct w:val="0"/>
              <w:autoSpaceDE/>
              <w:autoSpaceDN/>
              <w:bidi w:val="0"/>
              <w:adjustRightInd/>
              <w:snapToGrid/>
              <w:spacing w:beforeAutospacing="0" w:afterAutospacing="0" w:line="400" w:lineRule="exact"/>
              <w:ind w:left="27"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
              </w:rPr>
              <w:t>.</w:t>
            </w:r>
            <w:r>
              <w:rPr>
                <w:rFonts w:hint="eastAsia" w:asciiTheme="minorEastAsia" w:hAnsiTheme="minorEastAsia" w:eastAsiaTheme="minorEastAsia" w:cstheme="minorEastAsia"/>
                <w:sz w:val="24"/>
                <w:szCs w:val="24"/>
              </w:rPr>
              <w:t>成果简介（不超过1000字）</w:t>
            </w:r>
          </w:p>
          <w:p w14:paraId="6B7DBB4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1"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shd w:val="clear" w:fill="FFFFFF"/>
              </w:rPr>
              <w:t>积极响应“健康中国2030”国家战略，紧密对接广西大健康产业发展需求，针对康养领域长期存在的</w:t>
            </w:r>
            <w:r>
              <w:rPr>
                <w:rFonts w:hint="eastAsia" w:asciiTheme="minorEastAsia" w:hAnsiTheme="minorEastAsia" w:eastAsiaTheme="minorEastAsia" w:cstheme="minorEastAsia"/>
                <w:b/>
                <w:bCs/>
                <w:i w:val="0"/>
                <w:iCs w:val="0"/>
                <w:caps w:val="0"/>
                <w:color w:val="404040"/>
                <w:spacing w:val="0"/>
                <w:sz w:val="24"/>
                <w:szCs w:val="24"/>
                <w:shd w:val="clear" w:fill="FFFFFF"/>
              </w:rPr>
              <w:t>学生实践能力与岗位要求脱节、人才培养供给侧与产业需求侧不匹配、校企合作中“校热企冷”</w:t>
            </w:r>
            <w:r>
              <w:rPr>
                <w:rFonts w:hint="eastAsia" w:asciiTheme="minorEastAsia" w:hAnsiTheme="minorEastAsia" w:eastAsiaTheme="minorEastAsia" w:cstheme="minorEastAsia"/>
                <w:i w:val="0"/>
                <w:iCs w:val="0"/>
                <w:caps w:val="0"/>
                <w:color w:val="404040"/>
                <w:spacing w:val="0"/>
                <w:sz w:val="24"/>
                <w:szCs w:val="24"/>
                <w:shd w:val="clear" w:fill="FFFFFF"/>
              </w:rPr>
              <w:t>三大核心问题，自2012年起，依托国家级高技能人才培训基地，开展了长达十年的系统性教学改革与实践，创新构建并践行了</w:t>
            </w:r>
            <w:r>
              <w:rPr>
                <w:rFonts w:hint="eastAsia" w:asciiTheme="minorEastAsia" w:hAnsiTheme="minorEastAsia" w:eastAsiaTheme="minorEastAsia" w:cstheme="minorEastAsia"/>
                <w:b/>
                <w:bCs/>
                <w:i w:val="0"/>
                <w:iCs w:val="0"/>
                <w:caps w:val="0"/>
                <w:color w:val="404040"/>
                <w:spacing w:val="0"/>
                <w:sz w:val="24"/>
                <w:szCs w:val="24"/>
                <w:shd w:val="clear" w:fill="FFFFFF"/>
              </w:rPr>
              <w:t>“三境工学交替·四岗育训协同”</w:t>
            </w:r>
            <w:r>
              <w:rPr>
                <w:rFonts w:hint="eastAsia" w:asciiTheme="minorEastAsia" w:hAnsiTheme="minorEastAsia" w:eastAsiaTheme="minorEastAsia" w:cstheme="minorEastAsia"/>
                <w:i w:val="0"/>
                <w:iCs w:val="0"/>
                <w:caps w:val="0"/>
                <w:color w:val="404040"/>
                <w:spacing w:val="0"/>
                <w:sz w:val="24"/>
                <w:szCs w:val="24"/>
                <w:shd w:val="clear" w:fill="FFFFFF"/>
              </w:rPr>
              <w:t>人才培养体系，取得了丰硕的育人成果和社会反响。</w:t>
            </w:r>
          </w:p>
          <w:p w14:paraId="079978C1">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1"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shd w:val="clear" w:fill="FFFFFF"/>
              </w:rPr>
              <w:t>该成果的核心是构建了一套逻辑严密、层层</w:t>
            </w:r>
            <w:r>
              <w:rPr>
                <w:rFonts w:hint="eastAsia" w:asciiTheme="minorEastAsia" w:hAnsiTheme="minorEastAsia" w:eastAsiaTheme="minorEastAsia" w:cstheme="minorEastAsia"/>
                <w:b/>
                <w:bCs/>
                <w:i w:val="0"/>
                <w:iCs w:val="0"/>
                <w:caps w:val="0"/>
                <w:color w:val="404040"/>
                <w:spacing w:val="0"/>
                <w:sz w:val="24"/>
                <w:szCs w:val="24"/>
                <w:shd w:val="clear" w:fill="FFFFFF"/>
              </w:rPr>
              <w:t>递进</w:t>
            </w:r>
            <w:r>
              <w:rPr>
                <w:rFonts w:hint="eastAsia" w:asciiTheme="minorEastAsia" w:hAnsiTheme="minorEastAsia" w:eastAsiaTheme="minorEastAsia" w:cstheme="minorEastAsia"/>
                <w:i w:val="0"/>
                <w:iCs w:val="0"/>
                <w:caps w:val="0"/>
                <w:color w:val="404040"/>
                <w:spacing w:val="0"/>
                <w:sz w:val="24"/>
                <w:szCs w:val="24"/>
                <w:shd w:val="clear" w:fill="FFFFFF"/>
              </w:rPr>
              <w:t>的人才培养</w:t>
            </w:r>
            <w:r>
              <w:rPr>
                <w:rFonts w:hint="eastAsia" w:asciiTheme="minorEastAsia" w:hAnsiTheme="minorEastAsia" w:eastAsiaTheme="minorEastAsia" w:cstheme="minorEastAsia"/>
                <w:b/>
                <w:bCs/>
                <w:i w:val="0"/>
                <w:iCs w:val="0"/>
                <w:caps w:val="0"/>
                <w:color w:val="404040"/>
                <w:spacing w:val="0"/>
                <w:sz w:val="24"/>
                <w:szCs w:val="24"/>
                <w:shd w:val="clear" w:fill="FFFFFF"/>
              </w:rPr>
              <w:t>生态</w:t>
            </w:r>
            <w:r>
              <w:rPr>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网</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b/>
                <w:bCs/>
                <w:i w:val="0"/>
                <w:iCs w:val="0"/>
                <w:caps w:val="0"/>
                <w:color w:val="404040"/>
                <w:spacing w:val="0"/>
                <w:sz w:val="24"/>
                <w:szCs w:val="24"/>
                <w:shd w:val="clear" w:fill="FFFFFF"/>
              </w:rPr>
              <w:t>“三境工学交替”</w:t>
            </w:r>
            <w:r>
              <w:rPr>
                <w:rFonts w:hint="eastAsia" w:asciiTheme="minorEastAsia" w:hAnsiTheme="minorEastAsia" w:eastAsiaTheme="minorEastAsia" w:cstheme="minorEastAsia"/>
                <w:i w:val="0"/>
                <w:iCs w:val="0"/>
                <w:caps w:val="0"/>
                <w:color w:val="404040"/>
                <w:spacing w:val="0"/>
                <w:sz w:val="24"/>
                <w:szCs w:val="24"/>
                <w:shd w:val="clear" w:fill="FFFFFF"/>
              </w:rPr>
              <w:t>聚焦实践教学路径创新，突破传统“学校+企业”的二元模式，创新设计出</w:t>
            </w:r>
            <w:r>
              <w:rPr>
                <w:rFonts w:hint="eastAsia" w:asciiTheme="minorEastAsia" w:hAnsiTheme="minorEastAsia" w:eastAsiaTheme="minorEastAsia" w:cstheme="minorEastAsia"/>
                <w:b/>
                <w:bCs/>
                <w:i w:val="0"/>
                <w:iCs w:val="0"/>
                <w:caps w:val="0"/>
                <w:color w:val="404040"/>
                <w:spacing w:val="0"/>
                <w:sz w:val="24"/>
                <w:szCs w:val="24"/>
                <w:shd w:val="clear" w:fill="FFFFFF"/>
              </w:rPr>
              <w:t>“校内仿真实训境→企业真实岗位境→社区智慧服务境”</w:t>
            </w:r>
            <w:r>
              <w:rPr>
                <w:rFonts w:hint="eastAsia" w:asciiTheme="minorEastAsia" w:hAnsiTheme="minorEastAsia" w:eastAsiaTheme="minorEastAsia" w:cstheme="minorEastAsia"/>
                <w:i w:val="0"/>
                <w:iCs w:val="0"/>
                <w:caps w:val="0"/>
                <w:color w:val="404040"/>
                <w:spacing w:val="0"/>
                <w:sz w:val="24"/>
                <w:szCs w:val="24"/>
                <w:shd w:val="clear" w:fill="FFFFFF"/>
              </w:rPr>
              <w:t>的递进式教学路径。</w:t>
            </w:r>
            <w:r>
              <w:rPr>
                <w:rFonts w:hint="eastAsia" w:asciiTheme="minorEastAsia" w:hAnsiTheme="minorEastAsia" w:eastAsiaTheme="minorEastAsia" w:cstheme="minorEastAsia"/>
                <w:b/>
                <w:bCs/>
                <w:i w:val="0"/>
                <w:iCs w:val="0"/>
                <w:caps w:val="0"/>
                <w:color w:val="404040"/>
                <w:spacing w:val="0"/>
                <w:sz w:val="24"/>
                <w:szCs w:val="24"/>
                <w:shd w:val="clear" w:fill="FFFFFF"/>
              </w:rPr>
              <w:t>在校内境中，</w:t>
            </w:r>
            <w:r>
              <w:rPr>
                <w:rFonts w:hint="eastAsia" w:asciiTheme="minorEastAsia" w:hAnsiTheme="minorEastAsia" w:eastAsiaTheme="minorEastAsia" w:cstheme="minorEastAsia"/>
                <w:i w:val="0"/>
                <w:iCs w:val="0"/>
                <w:caps w:val="0"/>
                <w:color w:val="404040"/>
                <w:spacing w:val="0"/>
                <w:sz w:val="24"/>
                <w:szCs w:val="24"/>
                <w:shd w:val="clear" w:fill="FFFFFF"/>
              </w:rPr>
              <w:t>依托高标准智能化实训基地，通过情景模拟、虚拟仿真等手段夯实学生基础技能，化解</w:t>
            </w:r>
            <w:r>
              <w:rPr>
                <w:rFonts w:hint="eastAsia" w:asciiTheme="minorEastAsia" w:hAnsiTheme="minorEastAsia" w:eastAsiaTheme="minorEastAsia" w:cstheme="minorEastAsia"/>
                <w:b/>
                <w:bCs/>
                <w:i w:val="0"/>
                <w:iCs w:val="0"/>
                <w:caps w:val="0"/>
                <w:color w:val="404040"/>
                <w:spacing w:val="0"/>
                <w:sz w:val="24"/>
                <w:szCs w:val="24"/>
                <w:shd w:val="clear" w:fill="FFFFFF"/>
              </w:rPr>
              <w:t>“不敢动手、不会操作”</w:t>
            </w:r>
            <w:r>
              <w:rPr>
                <w:rFonts w:hint="eastAsia" w:asciiTheme="minorEastAsia" w:hAnsiTheme="minorEastAsia" w:eastAsiaTheme="minorEastAsia" w:cstheme="minorEastAsia"/>
                <w:i w:val="0"/>
                <w:iCs w:val="0"/>
                <w:caps w:val="0"/>
                <w:color w:val="404040"/>
                <w:spacing w:val="0"/>
                <w:sz w:val="24"/>
                <w:szCs w:val="24"/>
                <w:shd w:val="clear" w:fill="FFFFFF"/>
              </w:rPr>
              <w:t>的初步难题；</w:t>
            </w:r>
            <w:r>
              <w:rPr>
                <w:rFonts w:hint="eastAsia" w:asciiTheme="minorEastAsia" w:hAnsiTheme="minorEastAsia" w:eastAsiaTheme="minorEastAsia" w:cstheme="minorEastAsia"/>
                <w:b/>
                <w:bCs/>
                <w:i w:val="0"/>
                <w:iCs w:val="0"/>
                <w:caps w:val="0"/>
                <w:color w:val="404040"/>
                <w:spacing w:val="0"/>
                <w:sz w:val="24"/>
                <w:szCs w:val="24"/>
                <w:shd w:val="clear" w:fill="FFFFFF"/>
              </w:rPr>
              <w:t>在企业境中，</w:t>
            </w:r>
            <w:r>
              <w:rPr>
                <w:rFonts w:hint="eastAsia" w:asciiTheme="minorEastAsia" w:hAnsiTheme="minorEastAsia" w:eastAsiaTheme="minorEastAsia" w:cstheme="minorEastAsia"/>
                <w:i w:val="0"/>
                <w:iCs w:val="0"/>
                <w:caps w:val="0"/>
                <w:color w:val="404040"/>
                <w:spacing w:val="0"/>
                <w:sz w:val="24"/>
                <w:szCs w:val="24"/>
                <w:shd w:val="clear" w:fill="FFFFFF"/>
              </w:rPr>
              <w:t>学生进入广西梧州制药、贺州西麦食品及各类</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康养</w:t>
            </w:r>
            <w:r>
              <w:rPr>
                <w:rFonts w:hint="eastAsia" w:asciiTheme="minorEastAsia" w:hAnsiTheme="minorEastAsia" w:eastAsiaTheme="minorEastAsia" w:cstheme="minorEastAsia"/>
                <w:i w:val="0"/>
                <w:iCs w:val="0"/>
                <w:caps w:val="0"/>
                <w:color w:val="404040"/>
                <w:spacing w:val="0"/>
                <w:sz w:val="24"/>
                <w:szCs w:val="24"/>
                <w:shd w:val="clear" w:fill="FFFFFF"/>
              </w:rPr>
              <w:t>机构、社区服务中心等真实场景，实现从</w:t>
            </w:r>
            <w:r>
              <w:rPr>
                <w:rFonts w:hint="eastAsia" w:asciiTheme="minorEastAsia" w:hAnsiTheme="minorEastAsia" w:eastAsiaTheme="minorEastAsia" w:cstheme="minorEastAsia"/>
                <w:b/>
                <w:bCs/>
                <w:i w:val="0"/>
                <w:iCs w:val="0"/>
                <w:caps w:val="0"/>
                <w:color w:val="404040"/>
                <w:spacing w:val="0"/>
                <w:sz w:val="24"/>
                <w:szCs w:val="24"/>
                <w:shd w:val="clear" w:fill="FFFFFF"/>
              </w:rPr>
              <w:t>“生手”到“熟手”的转变</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b/>
                <w:bCs/>
                <w:i w:val="0"/>
                <w:iCs w:val="0"/>
                <w:caps w:val="0"/>
                <w:color w:val="404040"/>
                <w:spacing w:val="0"/>
                <w:sz w:val="24"/>
                <w:szCs w:val="24"/>
                <w:shd w:val="clear" w:fill="FFFFFF"/>
              </w:rPr>
              <w:t>在社区境中，</w:t>
            </w:r>
            <w:r>
              <w:rPr>
                <w:rFonts w:hint="eastAsia" w:asciiTheme="minorEastAsia" w:hAnsiTheme="minorEastAsia" w:eastAsiaTheme="minorEastAsia" w:cstheme="minorEastAsia"/>
                <w:i w:val="0"/>
                <w:iCs w:val="0"/>
                <w:caps w:val="0"/>
                <w:color w:val="404040"/>
                <w:spacing w:val="0"/>
                <w:sz w:val="24"/>
                <w:szCs w:val="24"/>
                <w:shd w:val="clear" w:fill="FFFFFF"/>
              </w:rPr>
              <w:t>学生通过运营“技能夜校”、参与健康管理项目等方式，完成从</w:t>
            </w:r>
            <w:r>
              <w:rPr>
                <w:rFonts w:hint="eastAsia" w:asciiTheme="minorEastAsia" w:hAnsiTheme="minorEastAsia" w:eastAsiaTheme="minorEastAsia" w:cstheme="minorEastAsia"/>
                <w:b/>
                <w:bCs/>
                <w:i w:val="0"/>
                <w:iCs w:val="0"/>
                <w:caps w:val="0"/>
                <w:color w:val="404040"/>
                <w:spacing w:val="0"/>
                <w:sz w:val="24"/>
                <w:szCs w:val="24"/>
                <w:shd w:val="clear" w:fill="FFFFFF"/>
              </w:rPr>
              <w:t>“技能操作者”到“健康服务者”</w:t>
            </w:r>
            <w:r>
              <w:rPr>
                <w:rFonts w:hint="eastAsia" w:asciiTheme="minorEastAsia" w:hAnsiTheme="minorEastAsia" w:eastAsiaTheme="minorEastAsia" w:cstheme="minorEastAsia"/>
                <w:i w:val="0"/>
                <w:iCs w:val="0"/>
                <w:caps w:val="0"/>
                <w:color w:val="404040"/>
                <w:spacing w:val="0"/>
                <w:sz w:val="24"/>
                <w:szCs w:val="24"/>
                <w:shd w:val="clear" w:fill="FFFFFF"/>
              </w:rPr>
              <w:t>的角色升华。三境循环、交替推进，形成</w:t>
            </w:r>
            <w:r>
              <w:rPr>
                <w:rFonts w:hint="eastAsia" w:asciiTheme="minorEastAsia" w:hAnsiTheme="minorEastAsia" w:eastAsiaTheme="minorEastAsia" w:cstheme="minorEastAsia"/>
                <w:b/>
                <w:bCs/>
                <w:i w:val="0"/>
                <w:iCs w:val="0"/>
                <w:caps w:val="0"/>
                <w:color w:val="404040"/>
                <w:spacing w:val="0"/>
                <w:sz w:val="24"/>
                <w:szCs w:val="24"/>
                <w:shd w:val="clear" w:fill="FFFFFF"/>
              </w:rPr>
              <w:t>能力螺旋上升</w:t>
            </w:r>
            <w:r>
              <w:rPr>
                <w:rFonts w:hint="eastAsia" w:asciiTheme="minorEastAsia" w:hAnsiTheme="minorEastAsia" w:eastAsiaTheme="minorEastAsia" w:cstheme="minorEastAsia"/>
                <w:i w:val="0"/>
                <w:iCs w:val="0"/>
                <w:caps w:val="0"/>
                <w:color w:val="404040"/>
                <w:spacing w:val="0"/>
                <w:sz w:val="24"/>
                <w:szCs w:val="24"/>
                <w:shd w:val="clear" w:fill="FFFFFF"/>
              </w:rPr>
              <w:t>的闭环培养体系。</w:t>
            </w:r>
          </w:p>
          <w:p w14:paraId="5F8FCE22">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1" w:line="400" w:lineRule="exact"/>
              <w:ind w:left="0" w:right="0" w:firstLine="482" w:firstLineChars="20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b/>
                <w:bCs/>
                <w:i w:val="0"/>
                <w:iCs w:val="0"/>
                <w:caps w:val="0"/>
                <w:color w:val="404040"/>
                <w:spacing w:val="0"/>
                <w:sz w:val="24"/>
                <w:szCs w:val="24"/>
                <w:shd w:val="clear" w:fill="FFFFFF"/>
              </w:rPr>
              <w:t>“四岗育训协同”</w:t>
            </w:r>
            <w:r>
              <w:rPr>
                <w:rFonts w:hint="eastAsia" w:asciiTheme="minorEastAsia" w:hAnsiTheme="minorEastAsia" w:eastAsiaTheme="minorEastAsia" w:cstheme="minorEastAsia"/>
                <w:i w:val="0"/>
                <w:iCs w:val="0"/>
                <w:caps w:val="0"/>
                <w:color w:val="404040"/>
                <w:spacing w:val="0"/>
                <w:sz w:val="24"/>
                <w:szCs w:val="24"/>
                <w:shd w:val="clear" w:fill="FFFFFF"/>
              </w:rPr>
              <w:t>是面向人才培养内容的标准创新。通过深度调研康养产业链，精准提炼“生活照护、健康管理、康复保健、活动策划”四大岗位群的</w:t>
            </w:r>
            <w:r>
              <w:rPr>
                <w:rFonts w:hint="eastAsia" w:asciiTheme="minorEastAsia" w:hAnsiTheme="minorEastAsia" w:eastAsiaTheme="minorEastAsia" w:cstheme="minorEastAsia"/>
                <w:b/>
                <w:bCs/>
                <w:i w:val="0"/>
                <w:iCs w:val="0"/>
                <w:caps w:val="0"/>
                <w:color w:val="404040"/>
                <w:spacing w:val="0"/>
                <w:sz w:val="24"/>
                <w:szCs w:val="24"/>
                <w:shd w:val="clear" w:fill="FFFFFF"/>
              </w:rPr>
              <w:t>能力模型</w:t>
            </w:r>
            <w:r>
              <w:rPr>
                <w:rFonts w:hint="eastAsia" w:asciiTheme="minorEastAsia" w:hAnsiTheme="minorEastAsia" w:eastAsiaTheme="minorEastAsia" w:cstheme="minorEastAsia"/>
                <w:i w:val="0"/>
                <w:iCs w:val="0"/>
                <w:caps w:val="0"/>
                <w:color w:val="404040"/>
                <w:spacing w:val="0"/>
                <w:sz w:val="24"/>
                <w:szCs w:val="24"/>
                <w:shd w:val="clear" w:fill="FFFFFF"/>
              </w:rPr>
              <w:t>，以此为导向</w:t>
            </w:r>
            <w:r>
              <w:rPr>
                <w:rFonts w:hint="eastAsia" w:asciiTheme="minorEastAsia" w:hAnsiTheme="minorEastAsia" w:eastAsiaTheme="minorEastAsia" w:cstheme="minorEastAsia"/>
                <w:b/>
                <w:bCs/>
                <w:i w:val="0"/>
                <w:iCs w:val="0"/>
                <w:caps w:val="0"/>
                <w:color w:val="404040"/>
                <w:spacing w:val="0"/>
                <w:sz w:val="24"/>
                <w:szCs w:val="24"/>
                <w:shd w:val="clear" w:fill="FFFFFF"/>
              </w:rPr>
              <w:t>重构课程体系与教学内容</w:t>
            </w:r>
            <w:r>
              <w:rPr>
                <w:rFonts w:hint="eastAsia" w:asciiTheme="minorEastAsia" w:hAnsiTheme="minorEastAsia" w:eastAsiaTheme="minorEastAsia" w:cstheme="minorEastAsia"/>
                <w:i w:val="0"/>
                <w:iCs w:val="0"/>
                <w:caps w:val="0"/>
                <w:color w:val="404040"/>
                <w:spacing w:val="0"/>
                <w:sz w:val="24"/>
                <w:szCs w:val="24"/>
                <w:shd w:val="clear" w:fill="FFFFFF"/>
              </w:rPr>
              <w:t>。实现学历教育与职业培训在课程标准、教学过程与评价机制上的深度融合，开发活页教材、工作手册及实训资源包</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确保人才培养与产业需求</w:t>
            </w:r>
            <w:r>
              <w:rPr>
                <w:rFonts w:hint="eastAsia" w:asciiTheme="minorEastAsia" w:hAnsiTheme="minorEastAsia" w:eastAsiaTheme="minorEastAsia" w:cstheme="minorEastAsia"/>
                <w:b/>
                <w:bCs/>
                <w:i w:val="0"/>
                <w:iCs w:val="0"/>
                <w:caps w:val="0"/>
                <w:color w:val="404040"/>
                <w:spacing w:val="0"/>
                <w:sz w:val="24"/>
                <w:szCs w:val="24"/>
                <w:shd w:val="clear" w:fill="FFFFFF"/>
              </w:rPr>
              <w:t>同步共振</w:t>
            </w:r>
            <w:r>
              <w:rPr>
                <w:rFonts w:hint="eastAsia" w:asciiTheme="minorEastAsia" w:hAnsiTheme="minorEastAsia" w:eastAsiaTheme="minorEastAsia" w:cstheme="minorEastAsia"/>
                <w:i w:val="0"/>
                <w:iCs w:val="0"/>
                <w:caps w:val="0"/>
                <w:color w:val="404040"/>
                <w:spacing w:val="0"/>
                <w:sz w:val="24"/>
                <w:szCs w:val="24"/>
                <w:shd w:val="clear" w:fill="FFFFFF"/>
              </w:rPr>
              <w:t>，输出</w:t>
            </w:r>
            <w:r>
              <w:rPr>
                <w:rFonts w:hint="eastAsia" w:asciiTheme="minorEastAsia" w:hAnsiTheme="minorEastAsia" w:eastAsiaTheme="minorEastAsia" w:cstheme="minorEastAsia"/>
                <w:b/>
                <w:bCs/>
                <w:i w:val="0"/>
                <w:iCs w:val="0"/>
                <w:caps w:val="0"/>
                <w:color w:val="404040"/>
                <w:spacing w:val="0"/>
                <w:sz w:val="24"/>
                <w:szCs w:val="24"/>
                <w:shd w:val="clear" w:fill="FFFFFF"/>
              </w:rPr>
              <w:t>“用得上、干得好、留得住”</w:t>
            </w:r>
            <w:r>
              <w:rPr>
                <w:rFonts w:hint="eastAsia" w:asciiTheme="minorEastAsia" w:hAnsiTheme="minorEastAsia" w:eastAsiaTheme="minorEastAsia" w:cstheme="minorEastAsia"/>
                <w:i w:val="0"/>
                <w:iCs w:val="0"/>
                <w:caps w:val="0"/>
                <w:color w:val="404040"/>
                <w:spacing w:val="0"/>
                <w:sz w:val="24"/>
                <w:szCs w:val="24"/>
                <w:shd w:val="clear" w:fill="FFFFFF"/>
              </w:rPr>
              <w:t>的高素质技术技能人才。</w:t>
            </w:r>
          </w:p>
          <w:p w14:paraId="0BD2E9C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1" w:line="400" w:lineRule="exact"/>
              <w:ind w:left="0" w:right="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iCs w:val="0"/>
                <w:caps w:val="0"/>
                <w:color w:val="404040"/>
                <w:spacing w:val="0"/>
                <w:sz w:val="24"/>
                <w:szCs w:val="24"/>
                <w:shd w:val="clear" w:fill="FFFFFF"/>
              </w:rPr>
              <w:t>历经</w:t>
            </w:r>
            <w:r>
              <w:rPr>
                <w:rFonts w:hint="eastAsia" w:asciiTheme="minorEastAsia" w:hAnsiTheme="minorEastAsia" w:eastAsiaTheme="minorEastAsia" w:cstheme="minorEastAsia"/>
                <w:b/>
                <w:bCs/>
                <w:i w:val="0"/>
                <w:iCs w:val="0"/>
                <w:caps w:val="0"/>
                <w:color w:val="404040"/>
                <w:spacing w:val="0"/>
                <w:sz w:val="24"/>
                <w:szCs w:val="24"/>
                <w:shd w:val="clear" w:fill="FFFFFF"/>
              </w:rPr>
              <w:t>十年</w:t>
            </w:r>
            <w:r>
              <w:rPr>
                <w:rFonts w:hint="eastAsia" w:asciiTheme="minorEastAsia" w:hAnsiTheme="minorEastAsia" w:eastAsiaTheme="minorEastAsia" w:cstheme="minorEastAsia"/>
                <w:i w:val="0"/>
                <w:iCs w:val="0"/>
                <w:caps w:val="0"/>
                <w:color w:val="404040"/>
                <w:spacing w:val="0"/>
                <w:sz w:val="24"/>
                <w:szCs w:val="24"/>
                <w:shd w:val="clear" w:fill="FFFFFF"/>
              </w:rPr>
              <w:t>实践检验，成果显著。依托与行业龙头企业的深度合作，将壮瑶医药非遗文化、智慧健康技术融入教学，联合开发“八珍燕麦片”“</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壮药香囊</w:t>
            </w:r>
            <w:r>
              <w:rPr>
                <w:rFonts w:hint="eastAsia" w:asciiTheme="minorEastAsia" w:hAnsiTheme="minorEastAsia" w:eastAsiaTheme="minorEastAsia" w:cstheme="minorEastAsia"/>
                <w:i w:val="0"/>
                <w:iCs w:val="0"/>
                <w:caps w:val="0"/>
                <w:color w:val="404040"/>
                <w:spacing w:val="0"/>
                <w:sz w:val="24"/>
                <w:szCs w:val="24"/>
                <w:shd w:val="clear" w:fill="FFFFFF"/>
              </w:rPr>
              <w:t>”等市场产品，牵头制定《南宁老友粉烹饪技能培训规范》等3项地方标准，培育“八桂米粉”劳务品牌，实现教育链、人才链与产业链有机衔接。</w:t>
            </w:r>
            <w:r>
              <w:rPr>
                <w:rFonts w:hint="eastAsia" w:asciiTheme="minorEastAsia" w:hAnsiTheme="minorEastAsia" w:eastAsiaTheme="minorEastAsia" w:cstheme="minorEastAsia"/>
                <w:b/>
                <w:bCs/>
                <w:i w:val="0"/>
                <w:iCs w:val="0"/>
                <w:caps w:val="0"/>
                <w:color w:val="404040"/>
                <w:spacing w:val="0"/>
                <w:sz w:val="24"/>
                <w:szCs w:val="24"/>
                <w:shd w:val="clear" w:fill="FFFFFF"/>
              </w:rPr>
              <w:t>累计覆盖校内30余班级、6000余名学生，就业率稳定在98%以上，</w:t>
            </w:r>
            <w:r>
              <w:rPr>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师</w:t>
            </w:r>
            <w:r>
              <w:rPr>
                <w:rFonts w:hint="eastAsia" w:asciiTheme="minorEastAsia" w:hAnsiTheme="minorEastAsia" w:eastAsiaTheme="minorEastAsia" w:cstheme="minorEastAsia"/>
                <w:b/>
                <w:bCs/>
                <w:i w:val="0"/>
                <w:iCs w:val="0"/>
                <w:caps w:val="0"/>
                <w:color w:val="404040"/>
                <w:spacing w:val="0"/>
                <w:sz w:val="24"/>
                <w:szCs w:val="24"/>
                <w:shd w:val="clear" w:fill="FFFFFF"/>
              </w:rPr>
              <w:t>生获自治区级技能大赛奖</w:t>
            </w:r>
            <w:r>
              <w:rPr>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36</w:t>
            </w:r>
            <w:r>
              <w:rPr>
                <w:rFonts w:hint="eastAsia" w:asciiTheme="minorEastAsia" w:hAnsiTheme="minorEastAsia" w:eastAsiaTheme="minorEastAsia" w:cstheme="minorEastAsia"/>
                <w:b/>
                <w:bCs/>
                <w:i w:val="0"/>
                <w:iCs w:val="0"/>
                <w:caps w:val="0"/>
                <w:color w:val="404040"/>
                <w:spacing w:val="0"/>
                <w:sz w:val="24"/>
                <w:szCs w:val="24"/>
                <w:shd w:val="clear" w:fill="FFFFFF"/>
              </w:rPr>
              <w:t>8项</w:t>
            </w:r>
            <w:r>
              <w:rPr>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等一批标志性成果</w:t>
            </w:r>
            <w:r>
              <w:rPr>
                <w:rFonts w:hint="eastAsia" w:asciiTheme="minorEastAsia" w:hAnsiTheme="minorEastAsia" w:eastAsiaTheme="minorEastAsia" w:cstheme="minorEastAsia"/>
                <w:b/>
                <w:bCs/>
                <w:i w:val="0"/>
                <w:iCs w:val="0"/>
                <w:caps w:val="0"/>
                <w:color w:val="404040"/>
                <w:spacing w:val="0"/>
                <w:sz w:val="24"/>
                <w:szCs w:val="24"/>
                <w:shd w:val="clear" w:fill="FFFFFF"/>
              </w:rPr>
              <w:t>。</w:t>
            </w:r>
            <w:r>
              <w:rPr>
                <w:rFonts w:hint="eastAsia" w:asciiTheme="minorEastAsia" w:hAnsiTheme="minorEastAsia" w:eastAsiaTheme="minorEastAsia" w:cstheme="minorEastAsia"/>
                <w:i w:val="0"/>
                <w:iCs w:val="0"/>
                <w:caps w:val="0"/>
                <w:color w:val="404040"/>
                <w:spacing w:val="0"/>
                <w:sz w:val="24"/>
                <w:szCs w:val="24"/>
                <w:shd w:val="clear" w:fill="FFFFFF"/>
              </w:rPr>
              <w:t>成果获广西商贸技工学校等</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32</w:t>
            </w:r>
            <w:r>
              <w:rPr>
                <w:rFonts w:hint="eastAsia" w:asciiTheme="minorEastAsia" w:hAnsiTheme="minorEastAsia" w:eastAsiaTheme="minorEastAsia" w:cstheme="minorEastAsia"/>
                <w:i w:val="0"/>
                <w:iCs w:val="0"/>
                <w:caps w:val="0"/>
                <w:color w:val="404040"/>
                <w:spacing w:val="0"/>
                <w:sz w:val="24"/>
                <w:szCs w:val="24"/>
                <w:shd w:val="clear" w:fill="FFFFFF"/>
              </w:rPr>
              <w:t>余所院校推广应用，社会评价良好；牵头开发2项广西专项职业能力标准，</w:t>
            </w:r>
            <w:r>
              <w:rPr>
                <w:rFonts w:hint="eastAsia" w:asciiTheme="minorEastAsia" w:hAnsiTheme="minorEastAsia" w:eastAsiaTheme="minorEastAsia" w:cstheme="minorEastAsia"/>
                <w:b/>
                <w:bCs/>
                <w:i w:val="0"/>
                <w:iCs w:val="0"/>
                <w:caps w:val="0"/>
                <w:color w:val="404040"/>
                <w:spacing w:val="0"/>
                <w:sz w:val="24"/>
                <w:szCs w:val="24"/>
                <w:shd w:val="clear" w:fill="FFFFFF"/>
              </w:rPr>
              <w:t>年社会培训超2000人次</w:t>
            </w:r>
            <w:r>
              <w:rPr>
                <w:rFonts w:hint="eastAsia" w:asciiTheme="minorEastAsia" w:hAnsiTheme="minorEastAsia" w:eastAsiaTheme="minorEastAsia" w:cstheme="minorEastAsia"/>
                <w:i w:val="0"/>
                <w:iCs w:val="0"/>
                <w:caps w:val="0"/>
                <w:color w:val="404040"/>
                <w:spacing w:val="0"/>
                <w:sz w:val="24"/>
                <w:szCs w:val="24"/>
                <w:shd w:val="clear" w:fill="FFFFFF"/>
              </w:rPr>
              <w:t>，获《广西日报》等主流媒体报道，接待</w:t>
            </w:r>
            <w:r>
              <w:rPr>
                <w:rFonts w:hint="eastAsia" w:asciiTheme="minorEastAsia" w:hAnsiTheme="minorEastAsia" w:eastAsiaTheme="minorEastAsia" w:cstheme="minorEastAsia"/>
                <w:b/>
                <w:bCs/>
                <w:i w:val="0"/>
                <w:iCs w:val="0"/>
                <w:caps w:val="0"/>
                <w:color w:val="404040"/>
                <w:spacing w:val="0"/>
                <w:sz w:val="24"/>
                <w:szCs w:val="24"/>
                <w:shd w:val="clear" w:fill="FFFFFF"/>
              </w:rPr>
              <w:t>国内外108家单位共860余人次观摩</w:t>
            </w:r>
            <w:r>
              <w:rPr>
                <w:rFonts w:hint="eastAsia" w:asciiTheme="minorEastAsia" w:hAnsiTheme="minorEastAsia" w:eastAsiaTheme="minorEastAsia" w:cstheme="minorEastAsia"/>
                <w:i w:val="0"/>
                <w:iCs w:val="0"/>
                <w:caps w:val="0"/>
                <w:color w:val="404040"/>
                <w:spacing w:val="0"/>
                <w:sz w:val="24"/>
                <w:szCs w:val="24"/>
                <w:shd w:val="clear" w:fill="FFFFFF"/>
              </w:rPr>
              <w:t>，形成可复制、可推广的康养人才培养“广西方案”，为新时代职业教育高质量发展提供了成功范式。</w:t>
            </w:r>
          </w:p>
        </w:tc>
      </w:tr>
      <w:tr w14:paraId="25F9DF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784" w:hRule="atLeast"/>
          <w:jc w:val="center"/>
        </w:trPr>
        <w:tc>
          <w:tcPr>
            <w:tcW w:w="9127" w:type="dxa"/>
            <w:gridSpan w:val="5"/>
            <w:noWrap w:val="0"/>
            <w:vAlign w:val="top"/>
          </w:tcPr>
          <w:p w14:paraId="3E4FEF9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lang w:val="en-US" w:eastAsia="zh-CN"/>
              </w:rPr>
            </w:pP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2.主要解决的教学问题及解决方案（不超过1000字）</w:t>
            </w:r>
          </w:p>
          <w:p w14:paraId="68418F8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lang w:val="en-US" w:eastAsia="zh-CN"/>
              </w:rPr>
            </w:pP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（1）主要解决的教学问题</w:t>
            </w:r>
          </w:p>
          <w:p w14:paraId="19D62D6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Style w:val="7"/>
                <w:rFonts w:hint="default" w:ascii="Calibri" w:hAnsi="Calibri" w:cs="Calibri" w:eastAsiaTheme="minorEastAsia"/>
                <w:b/>
                <w:bCs/>
                <w:i w:val="0"/>
                <w:iCs w:val="0"/>
                <w:caps w:val="0"/>
                <w:color w:val="404040"/>
                <w:spacing w:val="0"/>
                <w:sz w:val="24"/>
                <w:szCs w:val="24"/>
                <w:shd w:val="clear" w:fill="FFFFFF"/>
                <w:lang w:val="en-US" w:eastAsia="zh-CN"/>
              </w:rPr>
              <w:t>①</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实践教学与产业实境脱节</w:t>
            </w:r>
            <w:r>
              <w:rPr>
                <w:rFonts w:hint="eastAsia" w:asciiTheme="minorEastAsia" w:hAnsiTheme="minorEastAsia" w:eastAsiaTheme="minorEastAsia" w:cstheme="minorEastAsia"/>
                <w:i w:val="0"/>
                <w:iCs w:val="0"/>
                <w:caps w:val="0"/>
                <w:color w:val="404040"/>
                <w:spacing w:val="0"/>
                <w:sz w:val="24"/>
                <w:szCs w:val="24"/>
                <w:shd w:val="clear" w:fill="FFFFFF"/>
              </w:rPr>
              <w:t>：学生缺乏沉浸式、递进式的实战训练，导致综合职业能力生成效能低下。</w:t>
            </w:r>
          </w:p>
          <w:p w14:paraId="5E317EF4">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Style w:val="7"/>
                <w:rFonts w:hint="default" w:ascii="Calibri" w:hAnsi="Calibri" w:cs="Calibri" w:eastAsiaTheme="minorEastAsia"/>
                <w:b/>
                <w:bCs/>
                <w:i w:val="0"/>
                <w:iCs w:val="0"/>
                <w:caps w:val="0"/>
                <w:color w:val="404040"/>
                <w:spacing w:val="0"/>
                <w:sz w:val="24"/>
                <w:szCs w:val="24"/>
                <w:shd w:val="clear" w:fill="FFFFFF"/>
                <w:lang w:val="en-US" w:eastAsia="zh-CN"/>
              </w:rPr>
              <w:t>②</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人才供给与产业升级错位</w:t>
            </w:r>
            <w:r>
              <w:rPr>
                <w:rFonts w:hint="eastAsia" w:asciiTheme="minorEastAsia" w:hAnsiTheme="minorEastAsia" w:eastAsiaTheme="minorEastAsia" w:cstheme="minorEastAsia"/>
                <w:i w:val="0"/>
                <w:iCs w:val="0"/>
                <w:caps w:val="0"/>
                <w:color w:val="404040"/>
                <w:spacing w:val="0"/>
                <w:sz w:val="24"/>
                <w:szCs w:val="24"/>
                <w:shd w:val="clear" w:fill="FFFFFF"/>
              </w:rPr>
              <w:t>：课程内容更新缓慢，</w:t>
            </w:r>
            <w:r>
              <w:rPr>
                <w:rFonts w:hint="default" w:asciiTheme="minorEastAsia" w:hAnsiTheme="minorEastAsia" w:eastAsiaTheme="minorEastAsia" w:cstheme="minorEastAsia"/>
                <w:i w:val="0"/>
                <w:iCs w:val="0"/>
                <w:caps w:val="0"/>
                <w:color w:val="404040"/>
                <w:spacing w:val="0"/>
                <w:sz w:val="24"/>
                <w:szCs w:val="24"/>
                <w:shd w:val="clear" w:fill="FFFFFF"/>
              </w:rPr>
              <w:t>育训分离，难以满足复合型</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高素质</w:t>
            </w:r>
            <w:r>
              <w:rPr>
                <w:rFonts w:hint="default" w:asciiTheme="minorEastAsia" w:hAnsiTheme="minorEastAsia" w:eastAsiaTheme="minorEastAsia" w:cstheme="minorEastAsia"/>
                <w:i w:val="0"/>
                <w:iCs w:val="0"/>
                <w:caps w:val="0"/>
                <w:color w:val="404040"/>
                <w:spacing w:val="0"/>
                <w:sz w:val="24"/>
                <w:szCs w:val="24"/>
                <w:shd w:val="clear" w:fill="FFFFFF"/>
              </w:rPr>
              <w:t>技能人才需求。</w:t>
            </w:r>
          </w:p>
          <w:p w14:paraId="7F596161">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Style w:val="7"/>
                <w:rFonts w:hint="default" w:ascii="Calibri" w:hAnsi="Calibri" w:cs="Calibri" w:eastAsiaTheme="minorEastAsia"/>
                <w:b/>
                <w:bCs/>
                <w:i w:val="0"/>
                <w:iCs w:val="0"/>
                <w:caps w:val="0"/>
                <w:color w:val="404040"/>
                <w:spacing w:val="0"/>
                <w:sz w:val="24"/>
                <w:szCs w:val="24"/>
                <w:shd w:val="clear" w:fill="FFFFFF"/>
                <w:lang w:val="en-US" w:eastAsia="zh-CN"/>
              </w:rPr>
              <w:t>③</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校企合作机制可持续性不足</w:t>
            </w:r>
            <w:r>
              <w:rPr>
                <w:rFonts w:hint="eastAsia" w:asciiTheme="minorEastAsia" w:hAnsiTheme="minorEastAsia" w:eastAsiaTheme="minorEastAsia" w:cstheme="minorEastAsia"/>
                <w:i w:val="0"/>
                <w:iCs w:val="0"/>
                <w:caps w:val="0"/>
                <w:color w:val="404040"/>
                <w:spacing w:val="0"/>
                <w:sz w:val="24"/>
                <w:szCs w:val="24"/>
                <w:shd w:val="clear" w:fill="FFFFFF"/>
              </w:rPr>
              <w:t>：企业参与人才培养的内生动力不足，缺乏价值共创、利益共享的长效机制。</w:t>
            </w:r>
          </w:p>
          <w:p w14:paraId="54B6558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（2）解决方案</w:t>
            </w:r>
          </w:p>
          <w:p w14:paraId="2150F96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left="480" w:leftChars="150" w:right="0" w:firstLine="0" w:firstLineChars="0"/>
              <w:textAlignment w:val="auto"/>
              <w:rPr>
                <w:rStyle w:val="7"/>
                <w:rFonts w:hint="eastAsia" w:asciiTheme="minorEastAsia" w:hAnsiTheme="minorEastAsia" w:eastAsiaTheme="minorEastAsia" w:cstheme="minorEastAsia"/>
                <w:b/>
                <w:bCs/>
                <w:i w:val="0"/>
                <w:iCs w:val="0"/>
                <w:caps w:val="0"/>
                <w:color w:val="404040"/>
                <w:spacing w:val="0"/>
                <w:sz w:val="24"/>
                <w:szCs w:val="24"/>
                <w:shd w:val="clear" w:fill="FFFFFF"/>
              </w:rPr>
            </w:pPr>
            <w:r>
              <w:rPr>
                <w:rStyle w:val="7"/>
                <w:rFonts w:hint="default" w:ascii="Calibri" w:hAnsi="Calibri" w:cs="Calibri" w:eastAsiaTheme="minorEastAsia"/>
                <w:b/>
                <w:bCs/>
                <w:i w:val="0"/>
                <w:iCs w:val="0"/>
                <w:caps w:val="0"/>
                <w:color w:val="404040"/>
                <w:spacing w:val="0"/>
                <w:sz w:val="24"/>
                <w:szCs w:val="24"/>
                <w:shd w:val="clear" w:fill="FFFFFF"/>
                <w:lang w:val="en-US" w:eastAsia="zh-CN"/>
              </w:rPr>
              <w:t>①</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设计并实施了“三境工学交替”递进式实践教学体系，破解“实践脱节”难题</w:t>
            </w:r>
          </w:p>
          <w:p w14:paraId="3DD0006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hint="eastAsia" w:asciiTheme="minorEastAsia" w:hAnsiTheme="minorEastAsia" w:eastAsiaTheme="minorEastAsia" w:cstheme="minorEastAsia"/>
                <w:i w:val="0"/>
                <w:iCs w:val="0"/>
                <w:caps w:val="0"/>
                <w:color w:val="404040"/>
                <w:spacing w:val="0"/>
                <w:sz w:val="24"/>
                <w:szCs w:val="24"/>
                <w:shd w:val="clear" w:fill="FFFFFF"/>
              </w:rPr>
              <w:t>遵循“认知→实践→创造”的能力生成规律，</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打破传统二元结构</w:t>
            </w:r>
            <w:r>
              <w:rPr>
                <w:rFonts w:hint="eastAsia" w:asciiTheme="minorEastAsia" w:hAnsiTheme="minorEastAsia" w:eastAsiaTheme="minorEastAsia" w:cstheme="minorEastAsia"/>
                <w:i w:val="0"/>
                <w:iCs w:val="0"/>
                <w:caps w:val="0"/>
                <w:color w:val="404040"/>
                <w:spacing w:val="0"/>
                <w:sz w:val="24"/>
                <w:szCs w:val="24"/>
                <w:shd w:val="clear" w:fill="FFFFFF"/>
              </w:rPr>
              <w:t>，创新设计了三境循环、能力递进的实践路径</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校内仿真实训境</w:t>
            </w:r>
            <w:r>
              <w:rPr>
                <w:rFonts w:hint="eastAsia" w:asciiTheme="minorEastAsia" w:hAnsiTheme="minorEastAsia" w:eastAsiaTheme="minorEastAsia" w:cstheme="minorEastAsia"/>
                <w:i w:val="0"/>
                <w:iCs w:val="0"/>
                <w:caps w:val="0"/>
                <w:color w:val="404040"/>
                <w:spacing w:val="0"/>
                <w:sz w:val="24"/>
                <w:szCs w:val="24"/>
                <w:shd w:val="clear" w:fill="FFFFFF"/>
              </w:rPr>
              <w:t>：建成集“照护、康复、营养、心理”于一体的</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高水平智能化实训基地</w:t>
            </w:r>
            <w:r>
              <w:rPr>
                <w:rFonts w:hint="eastAsia" w:asciiTheme="minorEastAsia" w:hAnsiTheme="minorEastAsia" w:eastAsiaTheme="minorEastAsia" w:cstheme="minorEastAsia"/>
                <w:i w:val="0"/>
                <w:iCs w:val="0"/>
                <w:caps w:val="0"/>
                <w:color w:val="404040"/>
                <w:spacing w:val="0"/>
                <w:sz w:val="24"/>
                <w:szCs w:val="24"/>
                <w:shd w:val="clear" w:fill="FFFFFF"/>
              </w:rPr>
              <w:t>，通过虚拟仿真、情景模拟等手段，开展无风险、可重复的单项技能训练，解决“不敢动手、不会操作”问题。</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企业真实岗位境</w:t>
            </w:r>
            <w:r>
              <w:rPr>
                <w:rFonts w:hint="eastAsia" w:asciiTheme="minorEastAsia" w:hAnsiTheme="minorEastAsia" w:eastAsiaTheme="minorEastAsia" w:cstheme="minorEastAsia"/>
                <w:i w:val="0"/>
                <w:iCs w:val="0"/>
                <w:caps w:val="0"/>
                <w:color w:val="404040"/>
                <w:spacing w:val="0"/>
                <w:sz w:val="24"/>
                <w:szCs w:val="24"/>
                <w:shd w:val="clear" w:fill="FFFFFF"/>
              </w:rPr>
              <w:t>：与</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广西梧州制药、贺州西麦食品</w:t>
            </w:r>
            <w:r>
              <w:rPr>
                <w:rFonts w:hint="eastAsia" w:asciiTheme="minorEastAsia" w:hAnsiTheme="minorEastAsia" w:eastAsiaTheme="minorEastAsia" w:cstheme="minorEastAsia"/>
                <w:i w:val="0"/>
                <w:iCs w:val="0"/>
                <w:caps w:val="0"/>
                <w:color w:val="404040"/>
                <w:spacing w:val="0"/>
                <w:sz w:val="24"/>
                <w:szCs w:val="24"/>
                <w:shd w:val="clear" w:fill="FFFFFF"/>
              </w:rPr>
              <w:t>等龙头企业共建“教学工厂”与“企业课堂”，推行“企业导师制”，让学生在解决真问题中锤炼综合能力，实现从“生手”到“熟手”的跃变。</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社区智慧服务境</w:t>
            </w:r>
            <w:r>
              <w:rPr>
                <w:rFonts w:hint="eastAsia" w:asciiTheme="minorEastAsia" w:hAnsiTheme="minorEastAsia" w:eastAsiaTheme="minorEastAsia" w:cstheme="minorEastAsia"/>
                <w:i w:val="0"/>
                <w:iCs w:val="0"/>
                <w:caps w:val="0"/>
                <w:color w:val="404040"/>
                <w:spacing w:val="0"/>
                <w:sz w:val="24"/>
                <w:szCs w:val="24"/>
                <w:shd w:val="clear" w:fill="FFFFFF"/>
              </w:rPr>
              <w:t>：开创“技能夜校”、运营社区健康项目，引导学生团队独立承接健康监测、活动策划等任务，培养其</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项目运营、沟通协作及创新解决复杂问题</w:t>
            </w:r>
            <w:r>
              <w:rPr>
                <w:rFonts w:hint="eastAsia" w:asciiTheme="minorEastAsia" w:hAnsiTheme="minorEastAsia" w:eastAsiaTheme="minorEastAsia" w:cstheme="minorEastAsia"/>
                <w:i w:val="0"/>
                <w:iCs w:val="0"/>
                <w:caps w:val="0"/>
                <w:color w:val="404040"/>
                <w:spacing w:val="0"/>
                <w:sz w:val="24"/>
                <w:szCs w:val="24"/>
                <w:shd w:val="clear" w:fill="FFFFFF"/>
              </w:rPr>
              <w:t>的能力，实现从“技能操作者”到“健康服务提供者”的角色升华。三境交替，形成了</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“螺旋上升、闭环强化”</w:t>
            </w:r>
            <w:r>
              <w:rPr>
                <w:rFonts w:hint="eastAsia" w:asciiTheme="minorEastAsia" w:hAnsiTheme="minorEastAsia" w:eastAsiaTheme="minorEastAsia" w:cstheme="minorEastAsia"/>
                <w:i w:val="0"/>
                <w:iCs w:val="0"/>
                <w:caps w:val="0"/>
                <w:color w:val="404040"/>
                <w:spacing w:val="0"/>
                <w:sz w:val="24"/>
                <w:szCs w:val="24"/>
                <w:shd w:val="clear" w:fill="FFFFFF"/>
              </w:rPr>
              <w:t>的实践教学新范式，彻底扭转了“纸上谈兵”的困境。</w:t>
            </w:r>
          </w:p>
          <w:p w14:paraId="639198B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497840</wp:posOffset>
                  </wp:positionH>
                  <wp:positionV relativeFrom="paragraph">
                    <wp:posOffset>92075</wp:posOffset>
                  </wp:positionV>
                  <wp:extent cx="4794250" cy="2307590"/>
                  <wp:effectExtent l="0" t="0" r="6350" b="3810"/>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794250" cy="2307590"/>
                          </a:xfrm>
                          <a:prstGeom prst="rect">
                            <a:avLst/>
                          </a:prstGeom>
                          <a:noFill/>
                          <a:ln w="9525">
                            <a:noFill/>
                          </a:ln>
                        </pic:spPr>
                      </pic:pic>
                    </a:graphicData>
                  </a:graphic>
                </wp:anchor>
              </w:drawing>
            </w:r>
          </w:p>
          <w:p w14:paraId="3322DCA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2A9D716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58A5A8A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68891C8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5AA9DD2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5E9498B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408DCEB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4C7400C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360" w:lineRule="auto"/>
              <w:ind w:left="240" w:leftChars="75" w:right="0" w:firstLine="2891" w:firstLineChars="1200"/>
              <w:textAlignment w:val="auto"/>
              <w:rPr>
                <w:rFonts w:hint="eastAsia" w:asciiTheme="minorEastAsia" w:hAnsiTheme="minorEastAsia" w:cstheme="minorEastAsia"/>
                <w:b/>
                <w:bCs/>
                <w:color w:val="auto"/>
                <w:kern w:val="2"/>
                <w:sz w:val="24"/>
                <w:szCs w:val="24"/>
                <w:lang w:val="en-US" w:eastAsia="zh-CN" w:bidi="ar-SA"/>
              </w:rPr>
            </w:pPr>
          </w:p>
          <w:p w14:paraId="1E8413C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360" w:lineRule="auto"/>
              <w:ind w:left="240" w:leftChars="75" w:right="0" w:firstLine="2891" w:firstLineChars="1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hint="eastAsia" w:asciiTheme="minorEastAsia" w:hAnsiTheme="minorEastAsia" w:cstheme="minorEastAsia"/>
                <w:b/>
                <w:bCs/>
                <w:color w:val="auto"/>
                <w:kern w:val="2"/>
                <w:sz w:val="24"/>
                <w:szCs w:val="24"/>
                <w:lang w:val="en-US" w:eastAsia="zh-CN" w:bidi="ar-SA"/>
              </w:rPr>
              <w:t>图1：三境工学交替</w:t>
            </w:r>
          </w:p>
          <w:p w14:paraId="5FBC837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left="240" w:leftChars="75" w:right="0" w:firstLine="241" w:firstLineChars="100"/>
              <w:textAlignment w:val="auto"/>
              <w:rPr>
                <w:rStyle w:val="7"/>
                <w:rFonts w:hint="eastAsia" w:asciiTheme="minorEastAsia" w:hAnsiTheme="minorEastAsia" w:eastAsiaTheme="minorEastAsia" w:cstheme="minorEastAsia"/>
                <w:b/>
                <w:bCs/>
                <w:i w:val="0"/>
                <w:iCs w:val="0"/>
                <w:caps w:val="0"/>
                <w:color w:val="404040"/>
                <w:spacing w:val="0"/>
                <w:sz w:val="24"/>
                <w:szCs w:val="24"/>
                <w:shd w:val="clear" w:fill="FFFFFF"/>
              </w:rPr>
            </w:pPr>
            <w:r>
              <w:rPr>
                <w:rStyle w:val="7"/>
                <w:rFonts w:hint="default" w:ascii="Calibri" w:hAnsi="Calibri" w:cs="Calibri" w:eastAsiaTheme="minorEastAsia"/>
                <w:b/>
                <w:bCs/>
                <w:i w:val="0"/>
                <w:iCs w:val="0"/>
                <w:caps w:val="0"/>
                <w:color w:val="404040"/>
                <w:spacing w:val="0"/>
                <w:sz w:val="24"/>
                <w:szCs w:val="24"/>
                <w:shd w:val="clear" w:fill="FFFFFF"/>
                <w:lang w:val="en-US" w:eastAsia="zh-CN"/>
              </w:rPr>
              <w:t>②</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创建并运行了“四岗育训协同”融合化内容模式，破解“供需错位”难题</w:t>
            </w:r>
          </w:p>
          <w:p w14:paraId="794AB5E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hint="eastAsia" w:asciiTheme="minorEastAsia" w:hAnsiTheme="minorEastAsia" w:eastAsiaTheme="minorEastAsia" w:cstheme="minorEastAsia"/>
                <w:i w:val="0"/>
                <w:iCs w:val="0"/>
                <w:caps w:val="0"/>
                <w:color w:val="404040"/>
                <w:spacing w:val="0"/>
                <w:sz w:val="24"/>
                <w:szCs w:val="24"/>
                <w:shd w:val="clear" w:fill="FFFFFF"/>
              </w:rPr>
              <w:t>依据康养产业“生活照护、健康管理、康复保健、活动策划”四大核心岗位群的能力模型图谱，</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彻底重构课程与教学体系</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精准对接岗位能力</w:t>
            </w:r>
            <w:r>
              <w:rPr>
                <w:rFonts w:hint="eastAsia" w:asciiTheme="minorEastAsia" w:hAnsiTheme="minorEastAsia" w:eastAsiaTheme="minorEastAsia" w:cstheme="minorEastAsia"/>
                <w:i w:val="0"/>
                <w:iCs w:val="0"/>
                <w:caps w:val="0"/>
                <w:color w:val="404040"/>
                <w:spacing w:val="0"/>
                <w:sz w:val="24"/>
                <w:szCs w:val="24"/>
                <w:shd w:val="clear" w:fill="FFFFFF"/>
              </w:rPr>
              <w:t>：组织校企专家共同剖析岗位任务与能力要求，开发</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模块化、项目化的活页教材与实训资源包</w:t>
            </w:r>
            <w:r>
              <w:rPr>
                <w:rFonts w:hint="eastAsia" w:asciiTheme="minorEastAsia" w:hAnsiTheme="minorEastAsia" w:eastAsiaTheme="minorEastAsia" w:cstheme="minorEastAsia"/>
                <w:i w:val="0"/>
                <w:iCs w:val="0"/>
                <w:caps w:val="0"/>
                <w:color w:val="404040"/>
                <w:spacing w:val="0"/>
                <w:sz w:val="24"/>
                <w:szCs w:val="24"/>
                <w:shd w:val="clear" w:fill="FFFFFF"/>
              </w:rPr>
              <w:t>，即时融入智慧健康、老年心理慰藉等新技术、新工艺。</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深度融通“育”与“训”</w:t>
            </w:r>
            <w:r>
              <w:rPr>
                <w:rFonts w:hint="eastAsia" w:asciiTheme="minorEastAsia" w:hAnsiTheme="minorEastAsia" w:eastAsiaTheme="minorEastAsia" w:cstheme="minorEastAsia"/>
                <w:i w:val="0"/>
                <w:iCs w:val="0"/>
                <w:caps w:val="0"/>
                <w:color w:val="404040"/>
                <w:spacing w:val="0"/>
                <w:sz w:val="24"/>
                <w:szCs w:val="24"/>
                <w:shd w:val="clear" w:fill="FFFFFF"/>
              </w:rPr>
              <w:t>：将学历教育的系统性与职业培训的实用性在</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课程标准、教学过程、考核评价</w:t>
            </w:r>
            <w:r>
              <w:rPr>
                <w:rFonts w:hint="eastAsia" w:asciiTheme="minorEastAsia" w:hAnsiTheme="minorEastAsia" w:eastAsiaTheme="minorEastAsia" w:cstheme="minorEastAsia"/>
                <w:i w:val="0"/>
                <w:iCs w:val="0"/>
                <w:caps w:val="0"/>
                <w:color w:val="404040"/>
                <w:spacing w:val="0"/>
                <w:sz w:val="24"/>
                <w:szCs w:val="24"/>
                <w:shd w:val="clear" w:fill="FFFFFF"/>
              </w:rPr>
              <w:t>中深度融合，开发了系列特色工作手册和教学资源。</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创新多元评价机制</w:t>
            </w:r>
            <w:r>
              <w:rPr>
                <w:rFonts w:hint="eastAsia" w:asciiTheme="minorEastAsia" w:hAnsiTheme="minorEastAsia" w:eastAsiaTheme="minorEastAsia" w:cstheme="minorEastAsia"/>
                <w:i w:val="0"/>
                <w:iCs w:val="0"/>
                <w:caps w:val="0"/>
                <w:color w:val="404040"/>
                <w:spacing w:val="0"/>
                <w:sz w:val="24"/>
                <w:szCs w:val="24"/>
                <w:shd w:val="clear" w:fill="FFFFFF"/>
              </w:rPr>
              <w:t>：建立以“四岗能力达成”为核心的考核体系，将</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企业项目完成度、职业技能等级证书获取率、服务对象满意度</w:t>
            </w:r>
            <w:r>
              <w:rPr>
                <w:rFonts w:hint="eastAsia" w:asciiTheme="minorEastAsia" w:hAnsiTheme="minorEastAsia" w:eastAsiaTheme="minorEastAsia" w:cstheme="minorEastAsia"/>
                <w:i w:val="0"/>
                <w:iCs w:val="0"/>
                <w:caps w:val="0"/>
                <w:color w:val="404040"/>
                <w:spacing w:val="0"/>
                <w:sz w:val="24"/>
                <w:szCs w:val="24"/>
                <w:shd w:val="clear" w:fill="FFFFFF"/>
              </w:rPr>
              <w:t>等作为核心指标，确保人才输出精准匹配产业需求。</w:t>
            </w:r>
          </w:p>
          <w:p w14:paraId="201B56D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838835</wp:posOffset>
                  </wp:positionH>
                  <wp:positionV relativeFrom="paragraph">
                    <wp:posOffset>97155</wp:posOffset>
                  </wp:positionV>
                  <wp:extent cx="3776345" cy="2704465"/>
                  <wp:effectExtent l="0" t="0" r="8255" b="635"/>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6"/>
                          <a:stretch>
                            <a:fillRect/>
                          </a:stretch>
                        </pic:blipFill>
                        <pic:spPr>
                          <a:xfrm>
                            <a:off x="0" y="0"/>
                            <a:ext cx="3776345" cy="2704465"/>
                          </a:xfrm>
                          <a:prstGeom prst="rect">
                            <a:avLst/>
                          </a:prstGeom>
                          <a:noFill/>
                          <a:ln w="9525">
                            <a:noFill/>
                          </a:ln>
                        </pic:spPr>
                      </pic:pic>
                    </a:graphicData>
                  </a:graphic>
                </wp:anchor>
              </w:drawing>
            </w:r>
          </w:p>
          <w:p w14:paraId="0DA2862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7D29A1E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4823275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062CD71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7BC0222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009B153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1AFEFCD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5F27077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1A3785D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2C42140A">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left="480" w:leftChars="150" w:right="0" w:firstLine="0" w:firstLineChars="0"/>
              <w:textAlignment w:val="auto"/>
              <w:rPr>
                <w:rStyle w:val="7"/>
                <w:rFonts w:hint="eastAsia" w:asciiTheme="minorEastAsia" w:hAnsiTheme="minorEastAsia" w:eastAsiaTheme="minorEastAsia" w:cstheme="minorEastAsia"/>
                <w:b/>
                <w:bCs/>
                <w:i w:val="0"/>
                <w:iCs w:val="0"/>
                <w:caps w:val="0"/>
                <w:color w:val="404040"/>
                <w:spacing w:val="0"/>
                <w:sz w:val="24"/>
                <w:szCs w:val="24"/>
                <w:shd w:val="clear" w:fill="FFFFFF"/>
              </w:rPr>
            </w:pPr>
            <w:r>
              <w:rPr>
                <w:rStyle w:val="7"/>
                <w:rFonts w:hint="default" w:ascii="Calibri" w:hAnsi="Calibri" w:cs="Calibri" w:eastAsiaTheme="minorEastAsia"/>
                <w:b/>
                <w:bCs/>
                <w:i w:val="0"/>
                <w:iCs w:val="0"/>
                <w:caps w:val="0"/>
                <w:color w:val="404040"/>
                <w:spacing w:val="0"/>
                <w:sz w:val="24"/>
                <w:szCs w:val="24"/>
                <w:shd w:val="clear" w:fill="FFFFFF"/>
                <w:lang w:val="en-US" w:eastAsia="zh-CN"/>
              </w:rPr>
              <w:t>③</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构建并完善了“三境四岗一体”可持续发展机制，破解“合作肤浅”难题</w:t>
            </w:r>
          </w:p>
          <w:p w14:paraId="370E545A">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hint="eastAsia" w:asciiTheme="minorEastAsia" w:hAnsiTheme="minorEastAsia" w:eastAsiaTheme="minorEastAsia" w:cstheme="minorEastAsia"/>
                <w:i w:val="0"/>
                <w:iCs w:val="0"/>
                <w:caps w:val="0"/>
                <w:color w:val="404040"/>
                <w:spacing w:val="0"/>
                <w:sz w:val="24"/>
                <w:szCs w:val="24"/>
                <w:shd w:val="clear" w:fill="FFFFFF"/>
              </w:rPr>
              <w:t>通过机制设计，</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变“输血”为“造血”</w:t>
            </w:r>
            <w:r>
              <w:rPr>
                <w:rFonts w:hint="eastAsia" w:asciiTheme="minorEastAsia" w:hAnsiTheme="minorEastAsia" w:eastAsiaTheme="minorEastAsia" w:cstheme="minorEastAsia"/>
                <w:i w:val="0"/>
                <w:iCs w:val="0"/>
                <w:caps w:val="0"/>
                <w:color w:val="404040"/>
                <w:spacing w:val="0"/>
                <w:sz w:val="24"/>
                <w:szCs w:val="24"/>
                <w:shd w:val="clear" w:fill="FFFFFF"/>
              </w:rPr>
              <w:t>，激发企业参与内生动力的可持续合作新生态</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价值共创机制</w:t>
            </w:r>
            <w:r>
              <w:rPr>
                <w:rFonts w:hint="eastAsia" w:asciiTheme="minorEastAsia" w:hAnsiTheme="minorEastAsia" w:eastAsiaTheme="minorEastAsia" w:cstheme="minorEastAsia"/>
                <w:i w:val="0"/>
                <w:iCs w:val="0"/>
                <w:caps w:val="0"/>
                <w:color w:val="404040"/>
                <w:spacing w:val="0"/>
                <w:sz w:val="24"/>
                <w:szCs w:val="24"/>
                <w:shd w:val="clear" w:fill="FFFFFF"/>
              </w:rPr>
              <w:t>：将企业员工培训、技术研发、产品试制等项目嵌入“三境”教学，使企业获得</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实实在在的人力支持与智力贡献</w:t>
            </w:r>
            <w:r>
              <w:rPr>
                <w:rFonts w:hint="eastAsia" w:asciiTheme="minorEastAsia" w:hAnsiTheme="minorEastAsia" w:eastAsiaTheme="minorEastAsia" w:cstheme="minorEastAsia"/>
                <w:i w:val="0"/>
                <w:iCs w:val="0"/>
                <w:caps w:val="0"/>
                <w:color w:val="404040"/>
                <w:spacing w:val="0"/>
                <w:sz w:val="24"/>
                <w:szCs w:val="24"/>
                <w:shd w:val="clear" w:fill="FFFFFF"/>
              </w:rPr>
              <w:t>，如与西麦共开发“八珍燕麦片”、与梧药共定技术标准。</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利益共享纽带</w:t>
            </w:r>
            <w:r>
              <w:rPr>
                <w:rFonts w:hint="eastAsia" w:asciiTheme="minorEastAsia" w:hAnsiTheme="minorEastAsia" w:eastAsiaTheme="minorEastAsia" w:cstheme="minorEastAsia"/>
                <w:i w:val="0"/>
                <w:iCs w:val="0"/>
                <w:caps w:val="0"/>
                <w:color w:val="404040"/>
                <w:spacing w:val="0"/>
                <w:sz w:val="24"/>
                <w:szCs w:val="24"/>
                <w:shd w:val="clear" w:fill="FFFFFF"/>
              </w:rPr>
              <w:t>：通过“订单班”、“现代学徒制”等形式，让企业从招生招工、方案制定、教学实施到评价反馈</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全过程深度参与</w:t>
            </w:r>
            <w:r>
              <w:rPr>
                <w:rFonts w:hint="eastAsia" w:asciiTheme="minorEastAsia" w:hAnsiTheme="minorEastAsia" w:eastAsiaTheme="minorEastAsia" w:cstheme="minorEastAsia"/>
                <w:i w:val="0"/>
                <w:iCs w:val="0"/>
                <w:caps w:val="0"/>
                <w:color w:val="404040"/>
                <w:spacing w:val="0"/>
                <w:sz w:val="24"/>
                <w:szCs w:val="24"/>
                <w:shd w:val="clear" w:fill="FFFFFF"/>
              </w:rPr>
              <w:t>，成为人才培养的“股东”，构建了</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“人才共育、过程共管、成果共享、责任共担”</w:t>
            </w:r>
            <w:r>
              <w:rPr>
                <w:rFonts w:hint="eastAsia" w:asciiTheme="minorEastAsia" w:hAnsiTheme="minorEastAsia" w:eastAsiaTheme="minorEastAsia" w:cstheme="minorEastAsia"/>
                <w:i w:val="0"/>
                <w:iCs w:val="0"/>
                <w:caps w:val="0"/>
                <w:color w:val="404040"/>
                <w:spacing w:val="0"/>
                <w:sz w:val="24"/>
                <w:szCs w:val="24"/>
                <w:shd w:val="clear" w:fill="FFFFFF"/>
              </w:rPr>
              <w:t>的共同体关系。</w:t>
            </w:r>
          </w:p>
          <w:p w14:paraId="0B52A72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1181100</wp:posOffset>
                  </wp:positionH>
                  <wp:positionV relativeFrom="paragraph">
                    <wp:posOffset>47625</wp:posOffset>
                  </wp:positionV>
                  <wp:extent cx="3462655" cy="2845435"/>
                  <wp:effectExtent l="0" t="0" r="4445" b="12065"/>
                  <wp:wrapNone/>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7"/>
                          <a:stretch>
                            <a:fillRect/>
                          </a:stretch>
                        </pic:blipFill>
                        <pic:spPr>
                          <a:xfrm>
                            <a:off x="0" y="0"/>
                            <a:ext cx="3462655" cy="2845435"/>
                          </a:xfrm>
                          <a:prstGeom prst="rect">
                            <a:avLst/>
                          </a:prstGeom>
                          <a:noFill/>
                          <a:ln w="9525">
                            <a:noFill/>
                          </a:ln>
                        </pic:spPr>
                      </pic:pic>
                    </a:graphicData>
                  </a:graphic>
                </wp:anchor>
              </w:drawing>
            </w:r>
          </w:p>
          <w:p w14:paraId="75D9053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1CF7496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5E489B5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1FCE4C7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45086F8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6B9BECE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024FD6FA">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1F6AF5E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11C3224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6A0495A6">
            <w:pPr>
              <w:spacing w:line="360" w:lineRule="auto"/>
              <w:ind w:firstLine="3373" w:firstLineChars="1400"/>
              <w:rPr>
                <w:rFonts w:hint="eastAsia" w:asciiTheme="minorEastAsia" w:hAnsiTheme="minorEastAsia" w:eastAsiaTheme="minorEastAsia" w:cstheme="minorEastAsia"/>
                <w:i w:val="0"/>
                <w:iCs w:val="0"/>
                <w:caps w:val="0"/>
                <w:color w:val="404040"/>
                <w:spacing w:val="0"/>
                <w:sz w:val="24"/>
                <w:szCs w:val="24"/>
                <w:shd w:val="clear" w:fill="FFFFFF"/>
                <w:lang w:val="en-US" w:eastAsia="zh-CN"/>
              </w:rPr>
            </w:pPr>
            <w:r>
              <w:rPr>
                <w:rFonts w:hint="eastAsia" w:asciiTheme="minorEastAsia" w:hAnsiTheme="minorEastAsia" w:cstheme="minorEastAsia"/>
                <w:b/>
                <w:bCs/>
                <w:color w:val="auto"/>
                <w:kern w:val="2"/>
                <w:sz w:val="24"/>
                <w:szCs w:val="24"/>
                <w:lang w:val="en-US" w:eastAsia="zh-CN" w:bidi="ar-SA"/>
              </w:rPr>
              <w:t>图3 三境四岗一体</w:t>
            </w:r>
          </w:p>
        </w:tc>
      </w:tr>
      <w:tr w14:paraId="695AB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27" w:type="dxa"/>
            <w:gridSpan w:val="5"/>
            <w:noWrap w:val="0"/>
            <w:vAlign w:val="top"/>
          </w:tcPr>
          <w:p w14:paraId="38C9CED3">
            <w:pPr>
              <w:keepNext w:val="0"/>
              <w:keepLines w:val="0"/>
              <w:pageBreakBefore w:val="0"/>
              <w:numPr>
                <w:ilvl w:val="0"/>
                <w:numId w:val="0"/>
              </w:numPr>
              <w:kinsoku/>
              <w:wordWrap/>
              <w:overflowPunct/>
              <w:topLinePunct w:val="0"/>
              <w:autoSpaceDE/>
              <w:autoSpaceDN/>
              <w:bidi w:val="0"/>
              <w:adjustRightInd/>
              <w:snapToGrid/>
              <w:spacing w:beforeAutospacing="0" w:afterAutospacing="0" w:line="400" w:lineRule="exact"/>
              <w:ind w:firstLine="480" w:firstLineChars="200"/>
              <w:textAlignment w:val="auto"/>
            </w:pPr>
            <w:r>
              <w:rPr>
                <w:rFonts w:hint="eastAsia" w:asciiTheme="minorEastAsia" w:hAnsiTheme="minorEastAsia" w:eastAsiaTheme="minorEastAsia" w:cstheme="minorEastAsia"/>
                <w:b w:val="0"/>
                <w:bCs w:val="0"/>
                <w:color w:val="auto"/>
                <w:kern w:val="2"/>
                <w:sz w:val="24"/>
                <w:szCs w:val="24"/>
                <w:lang w:val="en-US" w:eastAsia="zh-CN" w:bidi="ar-SA"/>
              </w:rPr>
              <w:t>3.创新点（不超过1000字）</w:t>
            </w:r>
          </w:p>
          <w:p w14:paraId="7E59F26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right="0" w:firstLine="482" w:firstLineChars="200"/>
              <w:textAlignment w:val="auto"/>
              <w:rPr>
                <w:rFonts w:hint="eastAsia" w:asciiTheme="minorEastAsia" w:hAnsiTheme="minorEastAsia" w:eastAsiaTheme="minorEastAsia" w:cstheme="minorEastAsia"/>
                <w:sz w:val="24"/>
                <w:szCs w:val="24"/>
              </w:rPr>
            </w:pP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（1）</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理念创新：首创</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岗境融通、育训一体</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康养职业教育</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生态网</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，实现教育理念的根本性变革</w:t>
            </w:r>
            <w:r>
              <w:rPr>
                <w:rFonts w:hint="eastAsia" w:asciiTheme="minorEastAsia" w:hAnsiTheme="minorEastAsia" w:eastAsiaTheme="minorEastAsia" w:cstheme="minorEastAsia"/>
                <w:i w:val="0"/>
                <w:iCs w:val="0"/>
                <w:caps w:val="0"/>
                <w:color w:val="404040"/>
                <w:spacing w:val="0"/>
                <w:sz w:val="24"/>
                <w:szCs w:val="24"/>
                <w:shd w:val="clear" w:fill="FFFFFF"/>
              </w:rPr>
              <w:br w:type="textWrapping"/>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 xml:space="preserve">   </w:t>
            </w:r>
            <w:r>
              <w:rPr>
                <w:rFonts w:hint="eastAsia" w:asciiTheme="minorEastAsia" w:hAnsiTheme="minorEastAsia" w:eastAsiaTheme="minorEastAsia" w:cstheme="minorEastAsia"/>
                <w:i w:val="0"/>
                <w:iCs w:val="0"/>
                <w:caps w:val="0"/>
                <w:color w:val="404040"/>
                <w:spacing w:val="0"/>
                <w:sz w:val="24"/>
                <w:szCs w:val="24"/>
                <w:shd w:val="clear" w:fill="FFFFFF"/>
              </w:rPr>
              <w:t>成果针对传统职业教育中"学校教育与职业培训分离""校内学习与岗位实践脱节"的二元困境，</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首次提出并系统构建了"岗境融通、育训一体"的康养职业教育新理念</w:t>
            </w:r>
            <w:r>
              <w:rPr>
                <w:rFonts w:hint="eastAsia" w:asciiTheme="minorEastAsia" w:hAnsiTheme="minorEastAsia" w:eastAsiaTheme="minorEastAsia" w:cstheme="minorEastAsia"/>
                <w:i w:val="0"/>
                <w:iCs w:val="0"/>
                <w:caps w:val="0"/>
                <w:color w:val="404040"/>
                <w:spacing w:val="0"/>
                <w:sz w:val="24"/>
                <w:szCs w:val="24"/>
                <w:shd w:val="clear" w:fill="FFFFFF"/>
              </w:rPr>
              <w:t>。该理念创造性将</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四岗</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（生活照护、健康管理、康复保健、活动策划）能力要求与</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三境</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（校内仿真实训境、企业真实岗位境、社区智慧服务境）学习体验进行一体化设计，实现了</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从知识技能传授向情境化、集成化综合素养培育的根本转变</w:t>
            </w:r>
            <w:r>
              <w:rPr>
                <w:rFonts w:hint="eastAsia" w:asciiTheme="minorEastAsia" w:hAnsiTheme="minorEastAsia" w:eastAsiaTheme="minorEastAsia" w:cstheme="minorEastAsia"/>
                <w:i w:val="0"/>
                <w:iCs w:val="0"/>
                <w:caps w:val="0"/>
                <w:color w:val="404040"/>
                <w:spacing w:val="0"/>
                <w:sz w:val="24"/>
                <w:szCs w:val="24"/>
                <w:shd w:val="clear" w:fill="FFFFFF"/>
              </w:rPr>
              <w:t>。其核心内涵是：</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人才培养规格源于岗位且高于岗位，培养过程嵌入情境并回归岗位</w:t>
            </w:r>
            <w:r>
              <w:rPr>
                <w:rFonts w:hint="eastAsia" w:asciiTheme="minorEastAsia" w:hAnsiTheme="minorEastAsia" w:eastAsiaTheme="minorEastAsia" w:cstheme="minorEastAsia"/>
                <w:i w:val="0"/>
                <w:iCs w:val="0"/>
                <w:caps w:val="0"/>
                <w:color w:val="404040"/>
                <w:spacing w:val="0"/>
                <w:sz w:val="24"/>
                <w:szCs w:val="24"/>
                <w:shd w:val="clear" w:fill="FFFFFF"/>
              </w:rPr>
              <w:t>，在培养目标、课程内容、教学实施与评价考核全要素层面实现</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育</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与</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训</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的深度融合，培养兼具扎实学历教育基础和精湛职业技能的复合型人才。这一理念为康养职业教育改革提供了先进的顶层设计与理论基石，</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引领了康养职业教育发展的新方向</w:t>
            </w:r>
            <w:r>
              <w:rPr>
                <w:rFonts w:hint="eastAsia" w:asciiTheme="minorEastAsia" w:hAnsiTheme="minorEastAsia" w:eastAsiaTheme="minorEastAsia" w:cstheme="minorEastAsia"/>
                <w:i w:val="0"/>
                <w:iCs w:val="0"/>
                <w:caps w:val="0"/>
                <w:color w:val="404040"/>
                <w:spacing w:val="0"/>
                <w:sz w:val="24"/>
                <w:szCs w:val="24"/>
                <w:shd w:val="clear" w:fill="FFFFFF"/>
              </w:rPr>
              <w:t>。</w:t>
            </w:r>
          </w:p>
          <w:p w14:paraId="1D440AE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2" w:firstLineChars="200"/>
              <w:textAlignment w:val="auto"/>
              <w:rPr>
                <w:rFonts w:hint="eastAsia" w:asciiTheme="minorEastAsia" w:hAnsiTheme="minorEastAsia" w:eastAsiaTheme="minorEastAsia" w:cstheme="minorEastAsia"/>
                <w:sz w:val="24"/>
                <w:szCs w:val="24"/>
              </w:rPr>
            </w:pP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（2）</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模式创新：构建</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三境交替·四岗协同</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矩阵式育人模型，形成螺旋上升的人才培养生态体系</w:t>
            </w:r>
            <w:r>
              <w:rPr>
                <w:rFonts w:hint="eastAsia" w:asciiTheme="minorEastAsia" w:hAnsiTheme="minorEastAsia" w:eastAsiaTheme="minorEastAsia" w:cstheme="minorEastAsia"/>
                <w:i w:val="0"/>
                <w:iCs w:val="0"/>
                <w:caps w:val="0"/>
                <w:color w:val="404040"/>
                <w:spacing w:val="0"/>
                <w:sz w:val="24"/>
                <w:szCs w:val="24"/>
                <w:shd w:val="clear" w:fill="FFFFFF"/>
              </w:rPr>
              <w:br w:type="textWrapping"/>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 xml:space="preserve">   </w:t>
            </w:r>
            <w:r>
              <w:rPr>
                <w:rFonts w:hint="eastAsia" w:asciiTheme="minorEastAsia" w:hAnsiTheme="minorEastAsia" w:eastAsiaTheme="minorEastAsia" w:cstheme="minorEastAsia"/>
                <w:i w:val="0"/>
                <w:iCs w:val="0"/>
                <w:caps w:val="0"/>
                <w:color w:val="404040"/>
                <w:spacing w:val="0"/>
                <w:sz w:val="24"/>
                <w:szCs w:val="24"/>
                <w:shd w:val="clear" w:fill="FFFFFF"/>
              </w:rPr>
              <w:t>成果</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首创</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三境交替·四岗协同</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一体化育人模式</w:t>
            </w:r>
            <w:r>
              <w:rPr>
                <w:rFonts w:hint="eastAsia" w:asciiTheme="minorEastAsia" w:hAnsiTheme="minorEastAsia" w:eastAsiaTheme="minorEastAsia" w:cstheme="minorEastAsia"/>
                <w:i w:val="0"/>
                <w:iCs w:val="0"/>
                <w:caps w:val="0"/>
                <w:color w:val="404040"/>
                <w:spacing w:val="0"/>
                <w:sz w:val="24"/>
                <w:szCs w:val="24"/>
                <w:shd w:val="clear" w:fill="FFFFFF"/>
              </w:rPr>
              <w:t>，通过系统性矩阵整合实现路径与内容的有机统一：</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三境交替</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构建能力递进纵向时序轴</w:t>
            </w:r>
            <w:r>
              <w:rPr>
                <w:rFonts w:hint="eastAsia" w:asciiTheme="minorEastAsia" w:hAnsiTheme="minorEastAsia" w:eastAsiaTheme="minorEastAsia" w:cstheme="minorEastAsia"/>
                <w:i w:val="0"/>
                <w:iCs w:val="0"/>
                <w:caps w:val="0"/>
                <w:color w:val="404040"/>
                <w:spacing w:val="0"/>
                <w:sz w:val="24"/>
                <w:szCs w:val="24"/>
                <w:shd w:val="clear" w:fill="FFFFFF"/>
              </w:rPr>
              <w:t>，规划设计</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基础技能→综合能力→创新素养</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的递进式成长阶梯，解决</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如何培</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的路径问题</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四岗协同</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构建能力供给横向内容轴</w:t>
            </w:r>
            <w:r>
              <w:rPr>
                <w:rFonts w:hint="eastAsia" w:asciiTheme="minorEastAsia" w:hAnsiTheme="minorEastAsia" w:eastAsiaTheme="minorEastAsia" w:cstheme="minorEastAsia"/>
                <w:i w:val="0"/>
                <w:iCs w:val="0"/>
                <w:caps w:val="0"/>
                <w:color w:val="404040"/>
                <w:spacing w:val="0"/>
                <w:sz w:val="24"/>
                <w:szCs w:val="24"/>
                <w:shd w:val="clear" w:fill="FFFFFF"/>
              </w:rPr>
              <w:t>，精准界定各阶段能力维度和标准，解决"培养什么"的内容问题</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双轴交织形成</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动态调整、螺旋上升的</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生态网</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，确保每一境遇转换对应明确能力进阶、每一岗位能力获得相应实践支撑，</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系统破解了人才培养中整体性与科学性的难题</w:t>
            </w:r>
            <w:r>
              <w:rPr>
                <w:rFonts w:hint="eastAsia" w:asciiTheme="minorEastAsia" w:hAnsiTheme="minorEastAsia" w:eastAsiaTheme="minorEastAsia" w:cstheme="minorEastAsia"/>
                <w:i w:val="0"/>
                <w:iCs w:val="0"/>
                <w:caps w:val="0"/>
                <w:color w:val="404040"/>
                <w:spacing w:val="0"/>
                <w:sz w:val="24"/>
                <w:szCs w:val="24"/>
                <w:shd w:val="clear" w:fill="FFFFFF"/>
              </w:rPr>
              <w:t>。与传统"二元分段式"实践教学模式相比，本模式实现了</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从</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简单叠加</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到</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系统融合</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的根本性突破</w:t>
            </w:r>
            <w:r>
              <w:rPr>
                <w:rFonts w:hint="eastAsia" w:asciiTheme="minorEastAsia" w:hAnsiTheme="minorEastAsia" w:eastAsiaTheme="minorEastAsia" w:cstheme="minorEastAsia"/>
                <w:i w:val="0"/>
                <w:iCs w:val="0"/>
                <w:caps w:val="0"/>
                <w:color w:val="404040"/>
                <w:spacing w:val="0"/>
                <w:sz w:val="24"/>
                <w:szCs w:val="24"/>
                <w:shd w:val="clear" w:fill="FFFFFF"/>
              </w:rPr>
              <w:t>，成为成果最核心的创新标志。</w:t>
            </w:r>
          </w:p>
          <w:p w14:paraId="340C3C8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400" w:lineRule="exact"/>
              <w:ind w:right="0" w:firstLine="482" w:firstLineChars="2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（3）</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机制创新：打造</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价值共创·利益共享</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校企协同新机制，破解产教融合可持续性难题</w:t>
            </w:r>
            <w:r>
              <w:rPr>
                <w:rFonts w:hint="eastAsia" w:asciiTheme="minorEastAsia" w:hAnsiTheme="minorEastAsia" w:eastAsiaTheme="minorEastAsia" w:cstheme="minorEastAsia"/>
                <w:i w:val="0"/>
                <w:iCs w:val="0"/>
                <w:caps w:val="0"/>
                <w:color w:val="404040"/>
                <w:spacing w:val="0"/>
                <w:sz w:val="24"/>
                <w:szCs w:val="24"/>
                <w:shd w:val="clear" w:fill="FFFFFF"/>
              </w:rPr>
              <w:br w:type="textWrapping"/>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 xml:space="preserve">   </w:t>
            </w:r>
            <w:r>
              <w:rPr>
                <w:rFonts w:hint="eastAsia" w:asciiTheme="minorEastAsia" w:hAnsiTheme="minorEastAsia" w:eastAsiaTheme="minorEastAsia" w:cstheme="minorEastAsia"/>
                <w:i w:val="0"/>
                <w:iCs w:val="0"/>
                <w:caps w:val="0"/>
                <w:color w:val="404040"/>
                <w:spacing w:val="0"/>
                <w:sz w:val="24"/>
                <w:szCs w:val="24"/>
                <w:shd w:val="clear" w:fill="FFFFFF"/>
              </w:rPr>
              <w:t>成果创新设计</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价值共创·利益共享</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校企协同机制</w:t>
            </w:r>
            <w:r>
              <w:rPr>
                <w:rFonts w:hint="eastAsia" w:asciiTheme="minorEastAsia" w:hAnsiTheme="minorEastAsia" w:eastAsiaTheme="minorEastAsia" w:cstheme="minorEastAsia"/>
                <w:i w:val="0"/>
                <w:iCs w:val="0"/>
                <w:caps w:val="0"/>
                <w:color w:val="404040"/>
                <w:spacing w:val="0"/>
                <w:sz w:val="24"/>
                <w:szCs w:val="24"/>
                <w:shd w:val="clear" w:fill="FFFFFF"/>
              </w:rPr>
              <w:t>，通过</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三大创新性制度安排</w:t>
            </w:r>
            <w:r>
              <w:rPr>
                <w:rFonts w:hint="eastAsia" w:asciiTheme="minorEastAsia" w:hAnsiTheme="minorEastAsia" w:eastAsiaTheme="minorEastAsia" w:cstheme="minorEastAsia"/>
                <w:i w:val="0"/>
                <w:iCs w:val="0"/>
                <w:caps w:val="0"/>
                <w:color w:val="404040"/>
                <w:spacing w:val="0"/>
                <w:sz w:val="24"/>
                <w:szCs w:val="24"/>
                <w:shd w:val="clear" w:fill="FFFFFF"/>
              </w:rPr>
              <w:t>破解</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校热企冷</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困境</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资源交换机制</w:t>
            </w:r>
            <w:r>
              <w:rPr>
                <w:rFonts w:hint="eastAsia" w:asciiTheme="minorEastAsia" w:hAnsiTheme="minorEastAsia" w:eastAsiaTheme="minorEastAsia" w:cstheme="minorEastAsia"/>
                <w:i w:val="0"/>
                <w:iCs w:val="0"/>
                <w:caps w:val="0"/>
                <w:color w:val="404040"/>
                <w:spacing w:val="0"/>
                <w:sz w:val="24"/>
                <w:szCs w:val="24"/>
                <w:shd w:val="clear" w:fill="FFFFFF"/>
              </w:rPr>
              <w:t>：以"三境"为载体，将企业生产、研发与培训项目嵌入教学，使企业获得低成本研发、培训与人力资源</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权责联结机制</w:t>
            </w:r>
            <w:r>
              <w:rPr>
                <w:rFonts w:hint="eastAsia" w:asciiTheme="minorEastAsia" w:hAnsiTheme="minorEastAsia" w:eastAsiaTheme="minorEastAsia" w:cstheme="minorEastAsia"/>
                <w:i w:val="0"/>
                <w:iCs w:val="0"/>
                <w:caps w:val="0"/>
                <w:color w:val="404040"/>
                <w:spacing w:val="0"/>
                <w:sz w:val="24"/>
                <w:szCs w:val="24"/>
                <w:shd w:val="clear" w:fill="FFFFFF"/>
              </w:rPr>
              <w:t>：以</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四岗</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为纽带，通过订单班、现代学徒制等形式，让企业深度参与人才培养全过程，获得话语权与定制化人才</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双向赋能机制</w:t>
            </w:r>
            <w:r>
              <w:rPr>
                <w:rFonts w:hint="eastAsia" w:asciiTheme="minorEastAsia" w:hAnsiTheme="minorEastAsia" w:eastAsiaTheme="minorEastAsia" w:cstheme="minorEastAsia"/>
                <w:i w:val="0"/>
                <w:iCs w:val="0"/>
                <w:caps w:val="0"/>
                <w:color w:val="404040"/>
                <w:spacing w:val="0"/>
                <w:sz w:val="24"/>
                <w:szCs w:val="24"/>
                <w:shd w:val="clear" w:fill="FFFFFF"/>
              </w:rPr>
              <w:t>：学校赋能企业以人才和技术，企业赋能学校以资源和标准，形成</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人才共育、过程共管、成果共享、责任共担</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的利益共同体</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该机制推动校企由简单供需关系升级为</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你中有我、我中有你的命运共同体</w:t>
            </w:r>
            <w:r>
              <w:rPr>
                <w:rFonts w:hint="eastAsia" w:asciiTheme="minorEastAsia" w:hAnsiTheme="minorEastAsia" w:eastAsiaTheme="minorEastAsia" w:cstheme="minorEastAsia"/>
                <w:i w:val="0"/>
                <w:iCs w:val="0"/>
                <w:caps w:val="0"/>
                <w:color w:val="404040"/>
                <w:spacing w:val="0"/>
                <w:sz w:val="24"/>
                <w:szCs w:val="24"/>
                <w:shd w:val="clear" w:fill="FFFFFF"/>
              </w:rPr>
              <w:t>，为破解产教</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两张皮</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这一</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世界性难题</w:t>
            </w:r>
            <w:r>
              <w:rPr>
                <w:rFonts w:hint="eastAsia" w:asciiTheme="minorEastAsia" w:hAnsiTheme="minorEastAsia" w:eastAsiaTheme="minorEastAsia" w:cstheme="minorEastAsia"/>
                <w:i w:val="0"/>
                <w:iCs w:val="0"/>
                <w:caps w:val="0"/>
                <w:color w:val="404040"/>
                <w:spacing w:val="0"/>
                <w:sz w:val="24"/>
                <w:szCs w:val="24"/>
                <w:shd w:val="clear" w:fill="FFFFFF"/>
              </w:rPr>
              <w:t>提供了行之有效的</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中国方</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案</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和</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广西实践</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，具有重要的示范价值和推广意义。</w:t>
            </w:r>
          </w:p>
        </w:tc>
      </w:tr>
      <w:tr w14:paraId="182404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9127" w:type="dxa"/>
            <w:gridSpan w:val="5"/>
            <w:noWrap w:val="0"/>
            <w:vAlign w:val="top"/>
          </w:tcPr>
          <w:p w14:paraId="0C7A737C">
            <w:pPr>
              <w:keepNext w:val="0"/>
              <w:keepLines w:val="0"/>
              <w:pageBreakBefore w:val="0"/>
              <w:kinsoku/>
              <w:wordWrap/>
              <w:overflowPunct/>
              <w:topLinePunct w:val="0"/>
              <w:autoSpaceDE/>
              <w:autoSpaceDN/>
              <w:bidi w:val="0"/>
              <w:adjustRightInd/>
              <w:snapToGrid/>
              <w:spacing w:beforeAutospacing="0" w:afterAutospacing="0" w:line="400" w:lineRule="exact"/>
              <w:ind w:firstLine="480" w:firstLineChars="2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b w:val="0"/>
                <w:bCs w:val="0"/>
                <w:color w:val="auto"/>
                <w:kern w:val="2"/>
                <w:sz w:val="24"/>
                <w:szCs w:val="24"/>
                <w:lang w:val="en-US" w:eastAsia="zh-CN" w:bidi="ar-SA"/>
              </w:rPr>
              <w:t>4</w:t>
            </w:r>
            <w:r>
              <w:rPr>
                <w:rFonts w:hint="eastAsia" w:asciiTheme="minorEastAsia" w:hAnsiTheme="minorEastAsia" w:eastAsiaTheme="minorEastAsia" w:cstheme="minorEastAsia"/>
                <w:b w:val="0"/>
                <w:bCs w:val="0"/>
                <w:color w:val="auto"/>
                <w:kern w:val="2"/>
                <w:sz w:val="24"/>
                <w:szCs w:val="24"/>
                <w:lang w:val="en" w:eastAsia="zh-CN" w:bidi="ar-SA"/>
              </w:rPr>
              <w:t>.</w:t>
            </w:r>
            <w:r>
              <w:rPr>
                <w:rFonts w:hint="eastAsia" w:asciiTheme="minorEastAsia" w:hAnsiTheme="minorEastAsia" w:eastAsiaTheme="minorEastAsia" w:cstheme="minorEastAsia"/>
                <w:b w:val="0"/>
                <w:bCs w:val="0"/>
                <w:color w:val="auto"/>
                <w:kern w:val="2"/>
                <w:sz w:val="24"/>
                <w:szCs w:val="24"/>
                <w:lang w:val="en-US" w:eastAsia="zh-CN" w:bidi="ar-SA"/>
              </w:rPr>
              <w:t>推广应用效果（不超过1000字）</w:t>
            </w:r>
          </w:p>
          <w:p w14:paraId="2EB24785">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1）人才培养质量显著提升，实现历史性突破</w:t>
            </w:r>
          </w:p>
          <w:p w14:paraId="54E64B9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shd w:val="clear" w:fill="FFFFFF"/>
              </w:rPr>
              <w:t>成果在校内医药康养系药物制剂、中药、烹饪、健康服务与管理、美容美体等专业全面应用，覆盖30余个班级，</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累计培养学生6000余人</w:t>
            </w:r>
            <w:r>
              <w:rPr>
                <w:rFonts w:hint="eastAsia" w:asciiTheme="minorEastAsia" w:hAnsiTheme="minorEastAsia" w:eastAsiaTheme="minorEastAsia" w:cstheme="minorEastAsia"/>
                <w:i w:val="0"/>
                <w:iCs w:val="0"/>
                <w:caps w:val="0"/>
                <w:color w:val="404040"/>
                <w:spacing w:val="0"/>
                <w:sz w:val="24"/>
                <w:szCs w:val="24"/>
                <w:shd w:val="clear" w:fill="FFFFFF"/>
              </w:rPr>
              <w:t>，人才培养质量实现质的飞跃。</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就业质量大幅提升</w:t>
            </w:r>
            <w:r>
              <w:rPr>
                <w:rFonts w:hint="eastAsia" w:asciiTheme="minorEastAsia" w:hAnsiTheme="minorEastAsia" w:eastAsiaTheme="minorEastAsia" w:cstheme="minorEastAsia"/>
                <w:i w:val="0"/>
                <w:iCs w:val="0"/>
                <w:caps w:val="0"/>
                <w:color w:val="404040"/>
                <w:spacing w:val="0"/>
                <w:sz w:val="24"/>
                <w:szCs w:val="24"/>
                <w:shd w:val="clear" w:fill="FFFFFF"/>
              </w:rPr>
              <w:t>，毕业生年均就业率达</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98.5%</w:t>
            </w:r>
            <w:r>
              <w:rPr>
                <w:rFonts w:hint="eastAsia" w:asciiTheme="minorEastAsia" w:hAnsiTheme="minorEastAsia" w:eastAsiaTheme="minorEastAsia" w:cstheme="minorEastAsia"/>
                <w:i w:val="0"/>
                <w:iCs w:val="0"/>
                <w:caps w:val="0"/>
                <w:color w:val="404040"/>
                <w:spacing w:val="0"/>
                <w:sz w:val="24"/>
                <w:szCs w:val="24"/>
                <w:shd w:val="clear" w:fill="FFFFFF"/>
              </w:rPr>
              <w:t>，专业对口率超</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85%</w:t>
            </w:r>
            <w:r>
              <w:rPr>
                <w:rFonts w:hint="eastAsia" w:asciiTheme="minorEastAsia" w:hAnsiTheme="minorEastAsia" w:eastAsiaTheme="minorEastAsia" w:cstheme="minorEastAsia"/>
                <w:i w:val="0"/>
                <w:iCs w:val="0"/>
                <w:caps w:val="0"/>
                <w:color w:val="404040"/>
                <w:spacing w:val="0"/>
                <w:sz w:val="24"/>
                <w:szCs w:val="24"/>
                <w:shd w:val="clear" w:fill="FFFFFF"/>
              </w:rPr>
              <w:t>，较改革前提升约5个百分点，远超广西同类专业平均水平。毕业生广泛就职于云庭汇、广东利泰药业、李宁体育园、名角美体等</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1</w:t>
            </w:r>
            <w:r>
              <w:rPr>
                <w:rFonts w:hint="eastAsia" w:asciiTheme="minorEastAsia" w:hAnsiTheme="minorEastAsia" w:eastAsiaTheme="minorEastAsia" w:cstheme="minorEastAsia"/>
                <w:i w:val="0"/>
                <w:iCs w:val="0"/>
                <w:caps w:val="0"/>
                <w:color w:val="404040"/>
                <w:spacing w:val="0"/>
                <w:sz w:val="24"/>
                <w:szCs w:val="24"/>
                <w:shd w:val="clear" w:fill="FFFFFF"/>
              </w:rPr>
              <w:t>28家知名企业，并迅速成长为技术骨干。第三方雇主调查显示，企业对毕业生专业技能、职业素养和岗位适应能力</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满意度连续超过95%</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师</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生竞赛成果丰硕</w:t>
            </w:r>
            <w:r>
              <w:rPr>
                <w:rFonts w:hint="eastAsia" w:asciiTheme="minorEastAsia" w:hAnsiTheme="minorEastAsia" w:eastAsiaTheme="minorEastAsia" w:cstheme="minorEastAsia"/>
                <w:i w:val="0"/>
                <w:iCs w:val="0"/>
                <w:caps w:val="0"/>
                <w:color w:val="404040"/>
                <w:spacing w:val="0"/>
                <w:sz w:val="24"/>
                <w:szCs w:val="24"/>
                <w:shd w:val="clear" w:fill="FFFFFF"/>
              </w:rPr>
              <w:t>，获广西职业院校技能大赛等省级以上奖项</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368项</w:t>
            </w:r>
            <w:r>
              <w:rPr>
                <w:rFonts w:hint="eastAsia" w:asciiTheme="minorEastAsia" w:hAnsiTheme="minorEastAsia" w:eastAsiaTheme="minorEastAsia" w:cstheme="minorEastAsia"/>
                <w:i w:val="0"/>
                <w:iCs w:val="0"/>
                <w:caps w:val="0"/>
                <w:color w:val="404040"/>
                <w:spacing w:val="0"/>
                <w:sz w:val="24"/>
                <w:szCs w:val="24"/>
                <w:shd w:val="clear" w:fill="FFFFFF"/>
              </w:rPr>
              <w:t>，职业技能等级证书获证率超</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98%</w:t>
            </w:r>
            <w:r>
              <w:rPr>
                <w:rFonts w:hint="eastAsia" w:asciiTheme="minorEastAsia" w:hAnsiTheme="minorEastAsia" w:eastAsiaTheme="minorEastAsia" w:cstheme="minorEastAsia"/>
                <w:i w:val="0"/>
                <w:iCs w:val="0"/>
                <w:caps w:val="0"/>
                <w:color w:val="404040"/>
                <w:spacing w:val="0"/>
                <w:sz w:val="24"/>
                <w:szCs w:val="24"/>
                <w:shd w:val="clear" w:fill="FFFFFF"/>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师资队伍建设成效显著</w:t>
            </w:r>
            <w:r>
              <w:rPr>
                <w:rFonts w:hint="eastAsia" w:asciiTheme="minorEastAsia" w:hAnsiTheme="minorEastAsia" w:eastAsiaTheme="minorEastAsia" w:cstheme="minorEastAsia"/>
                <w:i w:val="0"/>
                <w:iCs w:val="0"/>
                <w:caps w:val="0"/>
                <w:color w:val="404040"/>
                <w:spacing w:val="0"/>
                <w:sz w:val="24"/>
                <w:szCs w:val="24"/>
                <w:shd w:val="clear" w:fill="FFFFFF"/>
              </w:rPr>
              <w:t>，培养自治区首席技师1人、广西技术能手2人、南宁市技术能手9人，形成拥有12名一体化教师、25名</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双师型</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教师的高水平教学团队。团队教科研能力突出，主持参与课题</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16项</w:t>
            </w:r>
            <w:r>
              <w:rPr>
                <w:rFonts w:hint="eastAsia" w:asciiTheme="minorEastAsia" w:hAnsiTheme="minorEastAsia" w:eastAsiaTheme="minorEastAsia" w:cstheme="minorEastAsia"/>
                <w:i w:val="0"/>
                <w:iCs w:val="0"/>
                <w:caps w:val="0"/>
                <w:color w:val="404040"/>
                <w:spacing w:val="0"/>
                <w:sz w:val="24"/>
                <w:szCs w:val="24"/>
                <w:shd w:val="clear" w:fill="FFFFFF"/>
              </w:rPr>
              <w:t>，出版教材</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4部</w:t>
            </w:r>
            <w:r>
              <w:rPr>
                <w:rFonts w:hint="eastAsia" w:asciiTheme="minorEastAsia" w:hAnsiTheme="minorEastAsia" w:eastAsiaTheme="minorEastAsia" w:cstheme="minorEastAsia"/>
                <w:i w:val="0"/>
                <w:iCs w:val="0"/>
                <w:caps w:val="0"/>
                <w:color w:val="404040"/>
                <w:spacing w:val="0"/>
                <w:sz w:val="24"/>
                <w:szCs w:val="24"/>
                <w:shd w:val="clear" w:fill="FFFFFF"/>
              </w:rPr>
              <w:t>，发表论文</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46篇</w:t>
            </w:r>
            <w:r>
              <w:rPr>
                <w:rFonts w:hint="eastAsia" w:asciiTheme="minorEastAsia" w:hAnsiTheme="minorEastAsia" w:eastAsiaTheme="minorEastAsia" w:cstheme="minorEastAsia"/>
                <w:i w:val="0"/>
                <w:iCs w:val="0"/>
                <w:caps w:val="0"/>
                <w:color w:val="404040"/>
                <w:spacing w:val="0"/>
                <w:sz w:val="24"/>
                <w:szCs w:val="24"/>
                <w:shd w:val="clear" w:fill="FFFFFF"/>
              </w:rPr>
              <w:t>，获授权专利</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3项</w:t>
            </w:r>
            <w:r>
              <w:rPr>
                <w:rFonts w:hint="eastAsia" w:asciiTheme="minorEastAsia" w:hAnsiTheme="minorEastAsia" w:eastAsiaTheme="minorEastAsia" w:cstheme="minorEastAsia"/>
                <w:i w:val="0"/>
                <w:iCs w:val="0"/>
                <w:caps w:val="0"/>
                <w:color w:val="404040"/>
                <w:spacing w:val="0"/>
                <w:sz w:val="24"/>
                <w:szCs w:val="24"/>
                <w:shd w:val="clear" w:fill="FFFFFF"/>
              </w:rPr>
              <w:t>，获自治区教学成果奖</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2项</w:t>
            </w:r>
            <w:r>
              <w:rPr>
                <w:rFonts w:hint="eastAsia" w:asciiTheme="minorEastAsia" w:hAnsiTheme="minorEastAsia" w:eastAsiaTheme="minorEastAsia" w:cstheme="minorEastAsia"/>
                <w:i w:val="0"/>
                <w:iCs w:val="0"/>
                <w:caps w:val="0"/>
                <w:color w:val="404040"/>
                <w:spacing w:val="0"/>
                <w:sz w:val="24"/>
                <w:szCs w:val="24"/>
                <w:shd w:val="clear" w:fill="FFFFFF"/>
              </w:rPr>
              <w:t>。</w:t>
            </w:r>
          </w:p>
          <w:p w14:paraId="0BB7A563">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hint="eastAsia" w:asciiTheme="minorEastAsia" w:hAnsiTheme="minorEastAsia" w:eastAsiaTheme="minorEastAsia" w:cstheme="minorEastAsia"/>
                <w:i w:val="0"/>
                <w:iCs w:val="0"/>
                <w:caps w:val="0"/>
                <w:color w:val="404040"/>
                <w:spacing w:val="0"/>
                <w:sz w:val="24"/>
                <w:szCs w:val="24"/>
                <w:shd w:val="clear" w:fill="FFFFFF"/>
              </w:rPr>
              <w:t>（2）产业服务贡献突出，赋能区域经济发展</w:t>
            </w:r>
          </w:p>
          <w:p w14:paraId="6F53158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shd w:val="clear" w:fill="FFFFFF"/>
              </w:rPr>
              <w:t>成果深度服务广西大健康产业发展，实现教育链与产业链有机衔接。</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推动教学成果向生产力转化</w:t>
            </w:r>
            <w:r>
              <w:rPr>
                <w:rFonts w:hint="eastAsia" w:asciiTheme="minorEastAsia" w:hAnsiTheme="minorEastAsia" w:eastAsiaTheme="minorEastAsia" w:cstheme="minorEastAsia"/>
                <w:i w:val="0"/>
                <w:iCs w:val="0"/>
                <w:caps w:val="0"/>
                <w:color w:val="404040"/>
                <w:spacing w:val="0"/>
                <w:sz w:val="24"/>
                <w:szCs w:val="24"/>
                <w:shd w:val="clear" w:fill="FFFFFF"/>
              </w:rPr>
              <w:t>，与贺州西麦公司联</w:t>
            </w:r>
            <w:bookmarkStart w:id="1" w:name="_GoBack"/>
            <w:bookmarkEnd w:id="1"/>
            <w:r>
              <w:rPr>
                <w:rFonts w:hint="eastAsia" w:asciiTheme="minorEastAsia" w:hAnsiTheme="minorEastAsia" w:eastAsiaTheme="minorEastAsia" w:cstheme="minorEastAsia"/>
                <w:i w:val="0"/>
                <w:iCs w:val="0"/>
                <w:caps w:val="0"/>
                <w:color w:val="404040"/>
                <w:spacing w:val="0"/>
                <w:sz w:val="24"/>
                <w:szCs w:val="24"/>
                <w:shd w:val="clear" w:fill="FFFFFF"/>
              </w:rPr>
              <w:t>合开发</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八珍燕麦片</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七白燕麦片</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等畅销产品；与广西源生堂生物科技共同制定</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头皮护理题库</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企业标准，为企业创造显著经济效益。</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技术技能培训成效显著</w:t>
            </w:r>
            <w:r>
              <w:rPr>
                <w:rFonts w:hint="eastAsia" w:asciiTheme="minorEastAsia" w:hAnsiTheme="minorEastAsia" w:eastAsiaTheme="minorEastAsia" w:cstheme="minorEastAsia"/>
                <w:i w:val="0"/>
                <w:iCs w:val="0"/>
                <w:caps w:val="0"/>
                <w:color w:val="404040"/>
                <w:spacing w:val="0"/>
                <w:sz w:val="24"/>
                <w:szCs w:val="24"/>
                <w:shd w:val="clear" w:fill="FFFFFF"/>
              </w:rPr>
              <w:t>，年为聚焦优化食品、一心药业等企业及机构开展培训</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超2000人次</w:t>
            </w:r>
            <w:r>
              <w:rPr>
                <w:rFonts w:hint="eastAsia" w:asciiTheme="minorEastAsia" w:hAnsiTheme="minorEastAsia" w:eastAsiaTheme="minorEastAsia" w:cstheme="minorEastAsia"/>
                <w:i w:val="0"/>
                <w:iCs w:val="0"/>
                <w:caps w:val="0"/>
                <w:color w:val="404040"/>
                <w:spacing w:val="0"/>
                <w:sz w:val="24"/>
                <w:szCs w:val="24"/>
                <w:shd w:val="clear" w:fill="FFFFFF"/>
              </w:rPr>
              <w:t>，有效提升从业人员专业素养。</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助力行业标准与品牌建设</w:t>
            </w:r>
            <w:r>
              <w:rPr>
                <w:rFonts w:hint="eastAsia" w:asciiTheme="minorEastAsia" w:hAnsiTheme="minorEastAsia" w:eastAsiaTheme="minorEastAsia" w:cstheme="minorEastAsia"/>
                <w:i w:val="0"/>
                <w:iCs w:val="0"/>
                <w:caps w:val="0"/>
                <w:color w:val="404040"/>
                <w:spacing w:val="0"/>
                <w:sz w:val="24"/>
                <w:szCs w:val="24"/>
                <w:shd w:val="clear" w:fill="FFFFFF"/>
              </w:rPr>
              <w:t>，参与制定《老友粉烹饪技术人员技能评价》等</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3项南宁市地方标准</w:t>
            </w:r>
            <w:r>
              <w:rPr>
                <w:rFonts w:hint="eastAsia" w:asciiTheme="minorEastAsia" w:hAnsiTheme="minorEastAsia" w:eastAsiaTheme="minorEastAsia" w:cstheme="minorEastAsia"/>
                <w:i w:val="0"/>
                <w:iCs w:val="0"/>
                <w:caps w:val="0"/>
                <w:color w:val="404040"/>
                <w:spacing w:val="0"/>
                <w:sz w:val="24"/>
                <w:szCs w:val="24"/>
                <w:shd w:val="clear" w:fill="FFFFFF"/>
              </w:rPr>
              <w:t>，培育自治区级"八桂米粉"劳务品牌，牵头开发</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广西风味烧烤</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广西酸嘢制作</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专项职业能力项目，为规范行业秩序、提升产业竞争力作出重要贡献。</w:t>
            </w:r>
          </w:p>
          <w:p w14:paraId="3E6899AD">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left="240" w:leftChars="75" w:right="0" w:firstLine="240" w:firstLineChars="1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r>
              <w:rPr>
                <w:rFonts w:hint="eastAsia" w:asciiTheme="minorEastAsia" w:hAnsiTheme="minorEastAsia" w:eastAsiaTheme="minorEastAsia" w:cstheme="minorEastAsia"/>
                <w:i w:val="0"/>
                <w:iCs w:val="0"/>
                <w:caps w:val="0"/>
                <w:color w:val="404040"/>
                <w:spacing w:val="0"/>
                <w:sz w:val="24"/>
                <w:szCs w:val="24"/>
                <w:shd w:val="clear" w:fill="FFFFFF"/>
              </w:rPr>
              <w:t>（3）示范辐射效应显著，形成可复制推广的</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广西方案</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p>
          <w:p w14:paraId="6C9F4ABA">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right="0" w:firstLine="480" w:firstLineChars="200"/>
              <w:textAlignment w:val="auto"/>
              <w:rPr>
                <w:rFonts w:hint="eastAsia" w:asciiTheme="minorEastAsia" w:hAnsiTheme="minorEastAsia" w:eastAsiaTheme="minorEastAsia" w:cstheme="minorEastAsia"/>
                <w:b w:val="0"/>
                <w:bCs w:val="0"/>
                <w:color w:val="auto"/>
                <w:kern w:val="2"/>
                <w:sz w:val="24"/>
                <w:szCs w:val="24"/>
                <w:lang w:val="en-US" w:eastAsia="zh-CN" w:bidi="ar-SA"/>
              </w:rPr>
            </w:pPr>
            <w:r>
              <w:rPr>
                <w:rFonts w:hint="eastAsia" w:asciiTheme="minorEastAsia" w:hAnsiTheme="minorEastAsia" w:eastAsiaTheme="minorEastAsia" w:cstheme="minorEastAsia"/>
                <w:i w:val="0"/>
                <w:iCs w:val="0"/>
                <w:caps w:val="0"/>
                <w:color w:val="404040"/>
                <w:spacing w:val="0"/>
                <w:sz w:val="24"/>
                <w:szCs w:val="24"/>
                <w:shd w:val="clear" w:fill="FFFFFF"/>
              </w:rPr>
              <w:t>成果获广泛认可和应用，成为区域职业教育改革典范。</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区内推广效果显著</w:t>
            </w:r>
            <w:r>
              <w:rPr>
                <w:rFonts w:hint="eastAsia" w:asciiTheme="minorEastAsia" w:hAnsiTheme="minorEastAsia" w:eastAsiaTheme="minorEastAsia" w:cstheme="minorEastAsia"/>
                <w:i w:val="0"/>
                <w:iCs w:val="0"/>
                <w:caps w:val="0"/>
                <w:color w:val="404040"/>
                <w:spacing w:val="0"/>
                <w:sz w:val="24"/>
                <w:szCs w:val="24"/>
                <w:shd w:val="clear" w:fill="FFFFFF"/>
              </w:rPr>
              <w:t>，成果已被广西商贸技工学校、武鸣职业技术学校、隆安职业技术学校等</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10余所院校</w:t>
            </w:r>
            <w:r>
              <w:rPr>
                <w:rFonts w:hint="eastAsia" w:asciiTheme="minorEastAsia" w:hAnsiTheme="minorEastAsia" w:eastAsiaTheme="minorEastAsia" w:cstheme="minorEastAsia"/>
                <w:i w:val="0"/>
                <w:iCs w:val="0"/>
                <w:caps w:val="0"/>
                <w:color w:val="404040"/>
                <w:spacing w:val="0"/>
                <w:sz w:val="24"/>
                <w:szCs w:val="24"/>
                <w:shd w:val="clear" w:fill="FFFFFF"/>
              </w:rPr>
              <w:t>采纳应用，有效提升合作院校专业建设水平和人才培养质量。</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对外交流影响广泛</w:t>
            </w:r>
            <w:r>
              <w:rPr>
                <w:rFonts w:hint="eastAsia" w:asciiTheme="minorEastAsia" w:hAnsiTheme="minorEastAsia" w:eastAsiaTheme="minorEastAsia" w:cstheme="minorEastAsia"/>
                <w:i w:val="0"/>
                <w:iCs w:val="0"/>
                <w:caps w:val="0"/>
                <w:color w:val="404040"/>
                <w:spacing w:val="0"/>
                <w:sz w:val="24"/>
                <w:szCs w:val="24"/>
                <w:shd w:val="clear" w:fill="FFFFFF"/>
              </w:rPr>
              <w:t>，累计接待新加坡研学团、教育部</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源来好创业</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机构等</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108家国内外单位860余人次</w:t>
            </w:r>
            <w:r>
              <w:rPr>
                <w:rFonts w:hint="eastAsia" w:asciiTheme="minorEastAsia" w:hAnsiTheme="minorEastAsia" w:eastAsiaTheme="minorEastAsia" w:cstheme="minorEastAsia"/>
                <w:i w:val="0"/>
                <w:iCs w:val="0"/>
                <w:caps w:val="0"/>
                <w:color w:val="404040"/>
                <w:spacing w:val="0"/>
                <w:sz w:val="24"/>
                <w:szCs w:val="24"/>
                <w:shd w:val="clear" w:fill="FFFFFF"/>
              </w:rPr>
              <w:t>考察交流，成果主持人及团队多次在省级以上会议作经验交流，</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南宁经验</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i w:val="0"/>
                <w:iCs w:val="0"/>
                <w:caps w:val="0"/>
                <w:color w:val="404040"/>
                <w:spacing w:val="0"/>
                <w:sz w:val="24"/>
                <w:szCs w:val="24"/>
                <w:shd w:val="clear" w:fill="FFFFFF"/>
              </w:rPr>
              <w:t>影响日益扩大。</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媒体关注社会认可</w:t>
            </w:r>
            <w:r>
              <w:rPr>
                <w:rFonts w:hint="eastAsia" w:asciiTheme="minorEastAsia" w:hAnsiTheme="minorEastAsia" w:eastAsiaTheme="minorEastAsia" w:cstheme="minorEastAsia"/>
                <w:i w:val="0"/>
                <w:iCs w:val="0"/>
                <w:caps w:val="0"/>
                <w:color w:val="404040"/>
                <w:spacing w:val="0"/>
                <w:sz w:val="24"/>
                <w:szCs w:val="24"/>
                <w:shd w:val="clear" w:fill="FFFFFF"/>
              </w:rPr>
              <w:t>，成果获《广西日报》、《南宁日报》、南宁电视台等主流媒体</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专题报道</w:t>
            </w:r>
            <w:r>
              <w:rPr>
                <w:rFonts w:hint="eastAsia" w:asciiTheme="minorEastAsia" w:hAnsiTheme="minorEastAsia" w:eastAsiaTheme="minorEastAsia" w:cstheme="minorEastAsia"/>
                <w:i w:val="0"/>
                <w:iCs w:val="0"/>
                <w:caps w:val="0"/>
                <w:color w:val="404040"/>
                <w:spacing w:val="0"/>
                <w:sz w:val="24"/>
                <w:szCs w:val="24"/>
                <w:shd w:val="clear" w:fill="FFFFFF"/>
              </w:rPr>
              <w:t>，引发良好社会反响，显著提升职业教育公众认可度。</w:t>
            </w:r>
          </w:p>
        </w:tc>
      </w:tr>
    </w:tbl>
    <w:p w14:paraId="3F25136C">
      <w:pPr>
        <w:spacing w:line="360" w:lineRule="auto"/>
        <w:ind w:firstLine="480" w:firstLineChars="200"/>
        <w:rPr>
          <w:rFonts w:hint="eastAsia" w:ascii="黑体" w:hAnsi="黑体" w:eastAsia="黑体"/>
          <w:szCs w:val="32"/>
        </w:rPr>
      </w:pPr>
      <w:r>
        <w:rPr>
          <w:rFonts w:hint="eastAsia" w:asciiTheme="minorEastAsia" w:hAnsiTheme="minorEastAsia" w:eastAsiaTheme="minorEastAsia" w:cstheme="minorEastAsia"/>
          <w:b w:val="0"/>
          <w:bCs w:val="0"/>
          <w:color w:val="auto"/>
          <w:kern w:val="2"/>
          <w:sz w:val="24"/>
          <w:szCs w:val="24"/>
          <w:lang w:val="en-US" w:eastAsia="zh-CN" w:bidi="ar-SA"/>
        </w:rPr>
        <w:br w:type="page"/>
      </w:r>
      <w:r>
        <w:rPr>
          <w:rFonts w:hint="eastAsia" w:ascii="黑体" w:hAnsi="黑体" w:eastAsia="黑体"/>
          <w:szCs w:val="32"/>
          <w:lang w:val="en-US" w:eastAsia="zh-CN"/>
        </w:rPr>
        <w:t>二、主</w:t>
      </w:r>
      <w:r>
        <w:rPr>
          <w:rFonts w:hint="eastAsia" w:ascii="黑体" w:hAnsi="黑体" w:eastAsia="黑体"/>
          <w:szCs w:val="32"/>
        </w:rPr>
        <w:t>要完成人情况</w:t>
      </w:r>
    </w:p>
    <w:tbl>
      <w:tblPr>
        <w:tblStyle w:val="5"/>
        <w:tblW w:w="90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5"/>
        <w:gridCol w:w="1570"/>
        <w:gridCol w:w="2639"/>
        <w:gridCol w:w="1464"/>
        <w:gridCol w:w="2565"/>
      </w:tblGrid>
      <w:tr w14:paraId="5F6E67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415" w:type="dxa"/>
            <w:gridSpan w:val="2"/>
            <w:noWrap w:val="0"/>
            <w:vAlign w:val="center"/>
          </w:tcPr>
          <w:p w14:paraId="6FE6D682">
            <w:pPr>
              <w:ind w:left="-3"/>
              <w:jc w:val="center"/>
              <w:rPr>
                <w:rFonts w:hint="eastAsia" w:ascii="宋体" w:hAnsi="宋体" w:eastAsia="宋体"/>
                <w:sz w:val="24"/>
                <w:szCs w:val="24"/>
              </w:rPr>
            </w:pPr>
            <w:r>
              <w:rPr>
                <w:rFonts w:hint="eastAsia" w:ascii="宋体" w:hAnsi="宋体" w:eastAsia="宋体"/>
                <w:sz w:val="24"/>
                <w:szCs w:val="24"/>
              </w:rPr>
              <w:t>第（</w:t>
            </w:r>
            <w:r>
              <w:rPr>
                <w:rFonts w:hint="eastAsia" w:ascii="宋体" w:hAnsi="宋体" w:eastAsia="宋体"/>
                <w:sz w:val="24"/>
                <w:szCs w:val="24"/>
                <w:lang w:val="en-US" w:eastAsia="zh-CN"/>
              </w:rPr>
              <w:t>一</w:t>
            </w:r>
            <w:r>
              <w:rPr>
                <w:rFonts w:hint="eastAsia" w:ascii="宋体" w:hAnsi="宋体" w:eastAsia="宋体"/>
                <w:sz w:val="24"/>
                <w:szCs w:val="24"/>
              </w:rPr>
              <w:t>）完成人姓名</w:t>
            </w:r>
          </w:p>
          <w:p w14:paraId="561F2ECD">
            <w:pPr>
              <w:ind w:left="-3"/>
              <w:jc w:val="center"/>
              <w:rPr>
                <w:rFonts w:hint="eastAsia" w:ascii="宋体" w:hAnsi="宋体" w:eastAsia="宋体"/>
                <w:sz w:val="24"/>
                <w:szCs w:val="24"/>
              </w:rPr>
            </w:pPr>
            <w:r>
              <w:rPr>
                <w:rFonts w:hint="eastAsia" w:ascii="宋体" w:hAnsi="宋体" w:eastAsia="宋体"/>
                <w:sz w:val="24"/>
                <w:szCs w:val="24"/>
              </w:rPr>
              <w:t>（前三完成人填写）</w:t>
            </w:r>
          </w:p>
        </w:tc>
        <w:tc>
          <w:tcPr>
            <w:tcW w:w="2639" w:type="dxa"/>
            <w:noWrap w:val="0"/>
            <w:vAlign w:val="center"/>
          </w:tcPr>
          <w:p w14:paraId="2CE64115">
            <w:pPr>
              <w:ind w:left="-3" w:leftChars="0"/>
              <w:jc w:val="center"/>
              <w:rPr>
                <w:rFonts w:hint="eastAsia" w:ascii="宋体" w:hAnsi="宋体" w:eastAsia="宋体"/>
                <w:sz w:val="24"/>
                <w:szCs w:val="24"/>
              </w:rPr>
            </w:pPr>
            <w:r>
              <w:rPr>
                <w:rFonts w:hint="eastAsia" w:ascii="宋体" w:hAnsi="宋体" w:eastAsia="宋体"/>
                <w:sz w:val="24"/>
                <w:szCs w:val="24"/>
                <w:lang w:val="en-US" w:eastAsia="zh-CN"/>
              </w:rPr>
              <w:t>陈建霞</w:t>
            </w:r>
          </w:p>
        </w:tc>
        <w:tc>
          <w:tcPr>
            <w:tcW w:w="1464" w:type="dxa"/>
            <w:noWrap w:val="0"/>
            <w:vAlign w:val="center"/>
          </w:tcPr>
          <w:p w14:paraId="77F44051">
            <w:pPr>
              <w:jc w:val="center"/>
              <w:rPr>
                <w:rFonts w:hint="eastAsia" w:ascii="宋体" w:hAnsi="宋体" w:eastAsia="宋体"/>
                <w:sz w:val="24"/>
                <w:szCs w:val="24"/>
              </w:rPr>
            </w:pPr>
            <w:r>
              <w:rPr>
                <w:rFonts w:hint="eastAsia" w:ascii="宋体" w:hAnsi="宋体" w:eastAsia="宋体"/>
                <w:sz w:val="24"/>
                <w:szCs w:val="24"/>
              </w:rPr>
              <w:t>出生年月</w:t>
            </w:r>
          </w:p>
        </w:tc>
        <w:tc>
          <w:tcPr>
            <w:tcW w:w="2565" w:type="dxa"/>
            <w:noWrap w:val="0"/>
            <w:vAlign w:val="center"/>
          </w:tcPr>
          <w:p w14:paraId="0BEB6C08">
            <w:pPr>
              <w:ind w:left="-3" w:leftChars="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1984年7月</w:t>
            </w:r>
          </w:p>
        </w:tc>
      </w:tr>
      <w:tr w14:paraId="5405D0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415" w:type="dxa"/>
            <w:gridSpan w:val="2"/>
            <w:noWrap w:val="0"/>
            <w:vAlign w:val="center"/>
          </w:tcPr>
          <w:p w14:paraId="156F6C98">
            <w:pPr>
              <w:ind w:left="-3"/>
              <w:jc w:val="center"/>
              <w:rPr>
                <w:rFonts w:hint="eastAsia" w:ascii="宋体" w:hAnsi="宋体" w:eastAsia="宋体"/>
                <w:sz w:val="24"/>
                <w:szCs w:val="24"/>
              </w:rPr>
            </w:pPr>
            <w:r>
              <w:rPr>
                <w:rFonts w:hint="eastAsia" w:ascii="宋体" w:hAnsi="宋体" w:eastAsia="宋体"/>
                <w:sz w:val="24"/>
                <w:szCs w:val="24"/>
              </w:rPr>
              <w:t>最后学历</w:t>
            </w:r>
          </w:p>
        </w:tc>
        <w:tc>
          <w:tcPr>
            <w:tcW w:w="2639" w:type="dxa"/>
            <w:noWrap w:val="0"/>
            <w:vAlign w:val="center"/>
          </w:tcPr>
          <w:p w14:paraId="2A395AF5">
            <w:pPr>
              <w:ind w:left="-3" w:leftChars="0"/>
              <w:jc w:val="center"/>
              <w:rPr>
                <w:rFonts w:hint="eastAsia" w:ascii="宋体" w:hAnsi="宋体" w:eastAsia="宋体"/>
                <w:sz w:val="24"/>
                <w:szCs w:val="24"/>
              </w:rPr>
            </w:pPr>
            <w:r>
              <w:rPr>
                <w:rFonts w:hint="eastAsia" w:ascii="宋体" w:hAnsi="宋体" w:eastAsia="宋体"/>
                <w:sz w:val="24"/>
                <w:szCs w:val="24"/>
                <w:lang w:val="en-US" w:eastAsia="zh-CN"/>
              </w:rPr>
              <w:t>本科</w:t>
            </w:r>
          </w:p>
        </w:tc>
        <w:tc>
          <w:tcPr>
            <w:tcW w:w="1464" w:type="dxa"/>
            <w:noWrap w:val="0"/>
            <w:vAlign w:val="center"/>
          </w:tcPr>
          <w:p w14:paraId="6517CFF0">
            <w:pPr>
              <w:jc w:val="center"/>
              <w:rPr>
                <w:rFonts w:hint="eastAsia" w:ascii="宋体" w:hAnsi="宋体" w:eastAsia="宋体"/>
                <w:sz w:val="24"/>
                <w:szCs w:val="24"/>
              </w:rPr>
            </w:pPr>
            <w:r>
              <w:rPr>
                <w:rFonts w:hint="eastAsia" w:ascii="宋体" w:hAnsi="宋体" w:eastAsia="宋体"/>
                <w:sz w:val="24"/>
                <w:szCs w:val="24"/>
              </w:rPr>
              <w:t>工龄/教龄</w:t>
            </w:r>
          </w:p>
        </w:tc>
        <w:tc>
          <w:tcPr>
            <w:tcW w:w="2565" w:type="dxa"/>
            <w:noWrap w:val="0"/>
            <w:vAlign w:val="center"/>
          </w:tcPr>
          <w:p w14:paraId="389E9FFB">
            <w:pPr>
              <w:ind w:left="-3" w:leftChars="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19年</w:t>
            </w:r>
          </w:p>
        </w:tc>
      </w:tr>
      <w:tr w14:paraId="09EE4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415" w:type="dxa"/>
            <w:gridSpan w:val="2"/>
            <w:noWrap w:val="0"/>
            <w:vAlign w:val="center"/>
          </w:tcPr>
          <w:p w14:paraId="0A9E8152">
            <w:pPr>
              <w:ind w:left="-3"/>
              <w:jc w:val="center"/>
              <w:rPr>
                <w:rFonts w:hint="eastAsia" w:ascii="宋体" w:hAnsi="宋体" w:eastAsia="宋体"/>
                <w:sz w:val="24"/>
                <w:szCs w:val="24"/>
              </w:rPr>
            </w:pPr>
            <w:r>
              <w:rPr>
                <w:rFonts w:hint="eastAsia" w:ascii="宋体" w:hAnsi="宋体" w:eastAsia="宋体"/>
                <w:sz w:val="24"/>
                <w:szCs w:val="24"/>
              </w:rPr>
              <w:t>工作单位</w:t>
            </w:r>
          </w:p>
        </w:tc>
        <w:tc>
          <w:tcPr>
            <w:tcW w:w="2639" w:type="dxa"/>
            <w:noWrap w:val="0"/>
            <w:vAlign w:val="center"/>
          </w:tcPr>
          <w:p w14:paraId="02EC2C67">
            <w:pPr>
              <w:ind w:left="-3" w:leftChars="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广西南宁技师学院</w:t>
            </w:r>
          </w:p>
        </w:tc>
        <w:tc>
          <w:tcPr>
            <w:tcW w:w="1464" w:type="dxa"/>
            <w:noWrap w:val="0"/>
            <w:vAlign w:val="center"/>
          </w:tcPr>
          <w:p w14:paraId="54D959BF">
            <w:pPr>
              <w:jc w:val="center"/>
              <w:rPr>
                <w:rFonts w:hint="eastAsia" w:ascii="宋体" w:hAnsi="宋体" w:eastAsia="宋体"/>
                <w:sz w:val="24"/>
                <w:szCs w:val="24"/>
              </w:rPr>
            </w:pPr>
            <w:r>
              <w:rPr>
                <w:rFonts w:hint="eastAsia" w:ascii="宋体" w:hAnsi="宋体" w:eastAsia="宋体"/>
                <w:sz w:val="24"/>
                <w:szCs w:val="24"/>
              </w:rPr>
              <w:t>现任职务/职称</w:t>
            </w:r>
          </w:p>
        </w:tc>
        <w:tc>
          <w:tcPr>
            <w:tcW w:w="2565" w:type="dxa"/>
            <w:noWrap w:val="0"/>
            <w:vAlign w:val="center"/>
          </w:tcPr>
          <w:p w14:paraId="0D22ED0E">
            <w:pPr>
              <w:ind w:left="-3" w:leftChars="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医药康养系教务组副组长/高级讲师</w:t>
            </w:r>
          </w:p>
        </w:tc>
      </w:tr>
      <w:tr w14:paraId="6D5195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9" w:hRule="atLeast"/>
          <w:jc w:val="center"/>
        </w:trPr>
        <w:tc>
          <w:tcPr>
            <w:tcW w:w="2415" w:type="dxa"/>
            <w:gridSpan w:val="2"/>
            <w:noWrap w:val="0"/>
            <w:vAlign w:val="center"/>
          </w:tcPr>
          <w:p w14:paraId="613E7644">
            <w:pPr>
              <w:ind w:left="-3"/>
              <w:jc w:val="center"/>
              <w:rPr>
                <w:rFonts w:hint="eastAsia" w:ascii="宋体" w:hAnsi="宋体" w:eastAsia="宋体"/>
                <w:sz w:val="24"/>
                <w:szCs w:val="24"/>
              </w:rPr>
            </w:pPr>
            <w:r>
              <w:rPr>
                <w:rFonts w:hint="eastAsia" w:ascii="宋体" w:hAnsi="宋体" w:eastAsia="宋体"/>
                <w:sz w:val="24"/>
                <w:szCs w:val="24"/>
              </w:rPr>
              <w:t>何时何地获何种</w:t>
            </w:r>
          </w:p>
          <w:p w14:paraId="7D960724">
            <w:pPr>
              <w:ind w:left="-3"/>
              <w:jc w:val="center"/>
              <w:rPr>
                <w:rFonts w:hint="eastAsia" w:ascii="宋体" w:hAnsi="宋体" w:eastAsia="宋体"/>
                <w:sz w:val="24"/>
                <w:szCs w:val="24"/>
              </w:rPr>
            </w:pPr>
            <w:r>
              <w:rPr>
                <w:rFonts w:hint="eastAsia" w:ascii="宋体" w:hAnsi="宋体" w:eastAsia="宋体"/>
                <w:sz w:val="24"/>
                <w:szCs w:val="24"/>
              </w:rPr>
              <w:t>校级及以上奖励</w:t>
            </w:r>
          </w:p>
        </w:tc>
        <w:tc>
          <w:tcPr>
            <w:tcW w:w="6668" w:type="dxa"/>
            <w:gridSpan w:val="3"/>
            <w:noWrap w:val="0"/>
            <w:vAlign w:val="center"/>
          </w:tcPr>
          <w:p w14:paraId="2F7D2AB6">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1.2021年度获南宁市人力资源和社会保障局系统事业单位工作人员嘉奖奖励</w:t>
            </w:r>
          </w:p>
          <w:p w14:paraId="4E88AAE7">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2.2023年度获校级优秀教育工作者</w:t>
            </w:r>
          </w:p>
          <w:p w14:paraId="34FBD5AD">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3.2024年参加广西职业技能大赛混合式教学比赛获三等奖4.2022年参加南宁市中等职业学校教师专业技能基本功比赛，荣获创新创业项目一等奖</w:t>
            </w:r>
          </w:p>
          <w:p w14:paraId="0AD2FE42">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5.2024年参加南宁市中等职业学校师生技能比赛混合式教学项目荣获三等奖</w:t>
            </w:r>
          </w:p>
          <w:p w14:paraId="5F8D8F5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Theme="minorEastAsia"/>
                <w:sz w:val="24"/>
                <w:szCs w:val="24"/>
                <w:lang w:eastAsia="zh-CN"/>
              </w:rPr>
            </w:pPr>
            <w:r>
              <w:rPr>
                <w:rFonts w:hint="eastAsia" w:ascii="宋体" w:hAnsi="宋体" w:eastAsia="宋体"/>
                <w:sz w:val="24"/>
                <w:szCs w:val="24"/>
                <w:lang w:val="en-US" w:eastAsia="zh-CN"/>
              </w:rPr>
              <w:t>6.2024年担任南宁市职工职业技能大赛中药调剂员裁判</w:t>
            </w:r>
          </w:p>
        </w:tc>
      </w:tr>
      <w:tr w14:paraId="193E25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86" w:hRule="atLeast"/>
          <w:jc w:val="center"/>
        </w:trPr>
        <w:tc>
          <w:tcPr>
            <w:tcW w:w="845" w:type="dxa"/>
            <w:noWrap w:val="0"/>
            <w:vAlign w:val="center"/>
          </w:tcPr>
          <w:p w14:paraId="11723772">
            <w:pPr>
              <w:ind w:left="-3"/>
              <w:jc w:val="center"/>
              <w:rPr>
                <w:rFonts w:hint="eastAsia" w:ascii="宋体" w:hAnsi="宋体" w:eastAsia="宋体"/>
                <w:sz w:val="24"/>
                <w:szCs w:val="24"/>
              </w:rPr>
            </w:pPr>
          </w:p>
          <w:p w14:paraId="1257B8AA">
            <w:pPr>
              <w:ind w:left="-3"/>
              <w:jc w:val="center"/>
              <w:rPr>
                <w:rFonts w:hint="eastAsia" w:ascii="宋体" w:hAnsi="宋体" w:eastAsia="宋体"/>
                <w:sz w:val="24"/>
                <w:szCs w:val="24"/>
              </w:rPr>
            </w:pPr>
            <w:r>
              <w:rPr>
                <w:rFonts w:hint="eastAsia" w:ascii="宋体" w:hAnsi="宋体" w:eastAsia="宋体"/>
                <w:sz w:val="24"/>
                <w:szCs w:val="24"/>
              </w:rPr>
              <w:t>主</w:t>
            </w:r>
          </w:p>
          <w:p w14:paraId="3366CF29">
            <w:pPr>
              <w:rPr>
                <w:rFonts w:hint="eastAsia" w:ascii="宋体" w:hAnsi="宋体" w:eastAsia="宋体"/>
                <w:sz w:val="24"/>
                <w:szCs w:val="24"/>
              </w:rPr>
            </w:pPr>
          </w:p>
          <w:p w14:paraId="131313A0">
            <w:pPr>
              <w:ind w:left="-3"/>
              <w:jc w:val="center"/>
              <w:rPr>
                <w:rFonts w:hint="eastAsia" w:ascii="宋体" w:hAnsi="宋体" w:eastAsia="宋体"/>
                <w:sz w:val="24"/>
                <w:szCs w:val="24"/>
              </w:rPr>
            </w:pPr>
            <w:r>
              <w:rPr>
                <w:rFonts w:hint="eastAsia" w:ascii="宋体" w:hAnsi="宋体" w:eastAsia="宋体"/>
                <w:sz w:val="24"/>
                <w:szCs w:val="24"/>
              </w:rPr>
              <w:t>要</w:t>
            </w:r>
          </w:p>
          <w:p w14:paraId="124D63AD">
            <w:pPr>
              <w:rPr>
                <w:rFonts w:hint="eastAsia" w:ascii="宋体" w:hAnsi="宋体" w:eastAsia="宋体"/>
                <w:sz w:val="24"/>
                <w:szCs w:val="24"/>
              </w:rPr>
            </w:pPr>
          </w:p>
          <w:p w14:paraId="0DE2ADB2">
            <w:pPr>
              <w:ind w:left="-3"/>
              <w:jc w:val="center"/>
              <w:rPr>
                <w:rFonts w:hint="eastAsia" w:ascii="宋体" w:hAnsi="宋体" w:eastAsia="宋体"/>
                <w:sz w:val="24"/>
                <w:szCs w:val="24"/>
              </w:rPr>
            </w:pPr>
            <w:r>
              <w:rPr>
                <w:rFonts w:hint="eastAsia" w:ascii="宋体" w:hAnsi="宋体" w:eastAsia="宋体"/>
                <w:sz w:val="24"/>
                <w:szCs w:val="24"/>
              </w:rPr>
              <w:t>贡</w:t>
            </w:r>
          </w:p>
          <w:p w14:paraId="47458620">
            <w:pPr>
              <w:ind w:left="-3"/>
              <w:jc w:val="center"/>
              <w:rPr>
                <w:rFonts w:hint="eastAsia" w:ascii="宋体" w:hAnsi="宋体" w:eastAsia="宋体"/>
                <w:sz w:val="24"/>
                <w:szCs w:val="24"/>
              </w:rPr>
            </w:pPr>
          </w:p>
          <w:p w14:paraId="64BE0D99">
            <w:pPr>
              <w:ind w:left="-3"/>
              <w:jc w:val="center"/>
              <w:rPr>
                <w:rFonts w:hint="eastAsia" w:ascii="宋体" w:hAnsi="宋体" w:eastAsia="宋体"/>
                <w:sz w:val="24"/>
                <w:szCs w:val="24"/>
              </w:rPr>
            </w:pPr>
            <w:r>
              <w:rPr>
                <w:rFonts w:hint="eastAsia" w:ascii="宋体" w:hAnsi="宋体" w:eastAsia="宋体"/>
                <w:sz w:val="24"/>
                <w:szCs w:val="24"/>
              </w:rPr>
              <w:t>献</w:t>
            </w:r>
          </w:p>
          <w:p w14:paraId="0484A994">
            <w:pPr>
              <w:ind w:left="-3"/>
              <w:jc w:val="center"/>
              <w:rPr>
                <w:rFonts w:hint="eastAsia" w:ascii="宋体" w:hAnsi="宋体" w:eastAsia="宋体"/>
                <w:sz w:val="24"/>
                <w:szCs w:val="24"/>
              </w:rPr>
            </w:pPr>
          </w:p>
        </w:tc>
        <w:tc>
          <w:tcPr>
            <w:tcW w:w="8238" w:type="dxa"/>
            <w:gridSpan w:val="4"/>
            <w:noWrap w:val="0"/>
            <w:vAlign w:val="bottom"/>
          </w:tcPr>
          <w:p w14:paraId="132E308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eastAsiaTheme="minorEastAsia" w:cstheme="minorEastAsia"/>
                <w:i w:val="0"/>
                <w:iCs w:val="0"/>
                <w:caps w:val="0"/>
                <w:color w:val="404040"/>
                <w:spacing w:val="0"/>
                <w:sz w:val="24"/>
                <w:szCs w:val="24"/>
                <w:shd w:val="clear" w:fill="FFFFFF"/>
              </w:rPr>
            </w:pPr>
          </w:p>
          <w:p w14:paraId="48B1B96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szCs w:val="24"/>
              </w:rPr>
            </w:pPr>
            <w:r>
              <w:rPr>
                <w:rFonts w:hint="eastAsia" w:ascii="宋体" w:hAnsi="宋体" w:eastAsia="宋体"/>
                <w:sz w:val="24"/>
                <w:szCs w:val="24"/>
                <w:lang w:eastAsia="zh-CN"/>
              </w:rPr>
              <w:drawing>
                <wp:anchor distT="0" distB="0" distL="114300" distR="114300" simplePos="0" relativeHeight="251665408" behindDoc="0" locked="0" layoutInCell="1" allowOverlap="1">
                  <wp:simplePos x="0" y="0"/>
                  <wp:positionH relativeFrom="column">
                    <wp:posOffset>1192530</wp:posOffset>
                  </wp:positionH>
                  <wp:positionV relativeFrom="paragraph">
                    <wp:posOffset>3042920</wp:posOffset>
                  </wp:positionV>
                  <wp:extent cx="1435735" cy="816610"/>
                  <wp:effectExtent l="0" t="0" r="0" b="0"/>
                  <wp:wrapNone/>
                  <wp:docPr id="7" name="图片 7" descr="陈建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陈建霞(1)"/>
                          <pic:cNvPicPr>
                            <a:picLocks noChangeAspect="1"/>
                          </pic:cNvPicPr>
                        </pic:nvPicPr>
                        <pic:blipFill>
                          <a:blip r:embed="rId4"/>
                          <a:stretch>
                            <a:fillRect/>
                          </a:stretch>
                        </pic:blipFill>
                        <pic:spPr>
                          <a:xfrm>
                            <a:off x="0" y="0"/>
                            <a:ext cx="1435735" cy="816610"/>
                          </a:xfrm>
                          <a:prstGeom prst="rect">
                            <a:avLst/>
                          </a:prstGeom>
                        </pic:spPr>
                      </pic:pic>
                    </a:graphicData>
                  </a:graphic>
                </wp:anchor>
              </w:drawing>
            </w:r>
            <w:r>
              <w:rPr>
                <w:rFonts w:hint="eastAsia" w:asciiTheme="minorEastAsia" w:hAnsiTheme="minorEastAsia" w:eastAsiaTheme="minorEastAsia" w:cstheme="minorEastAsia"/>
                <w:i w:val="0"/>
                <w:iCs w:val="0"/>
                <w:caps w:val="0"/>
                <w:color w:val="404040"/>
                <w:spacing w:val="0"/>
                <w:sz w:val="24"/>
                <w:szCs w:val="24"/>
                <w:shd w:val="clear" w:fill="FFFFFF"/>
              </w:rPr>
              <w:t>作为本成果的</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第一完成人</w:t>
            </w:r>
            <w:r>
              <w:rPr>
                <w:rFonts w:hint="eastAsia" w:asciiTheme="minorEastAsia" w:hAnsiTheme="minorEastAsia" w:eastAsiaTheme="minorEastAsia" w:cstheme="minorEastAsia"/>
                <w:i w:val="0"/>
                <w:iCs w:val="0"/>
                <w:caps w:val="0"/>
                <w:color w:val="404040"/>
                <w:spacing w:val="0"/>
                <w:sz w:val="24"/>
                <w:szCs w:val="24"/>
                <w:shd w:val="clear" w:fill="FFFFFF"/>
              </w:rPr>
              <w:t>，主持成果的总体设计、实践探索、总结提炼与推广应用的全过程。</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总体设计者</w:t>
            </w:r>
            <w:r>
              <w:rPr>
                <w:rFonts w:hint="eastAsia" w:asciiTheme="minorEastAsia" w:hAnsiTheme="minorEastAsia" w:eastAsiaTheme="minorEastAsia" w:cstheme="minorEastAsia"/>
                <w:i w:val="0"/>
                <w:iCs w:val="0"/>
                <w:caps w:val="0"/>
                <w:color w:val="404040"/>
                <w:spacing w:val="0"/>
                <w:sz w:val="24"/>
                <w:szCs w:val="24"/>
                <w:shd w:val="clear" w:fill="FFFFFF"/>
              </w:rPr>
              <w:t>：立足于区域大健康产业发展需求，前瞻性地提出</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“三境工学交替·四岗育训协同”</w:t>
            </w:r>
            <w:r>
              <w:rPr>
                <w:rFonts w:hint="eastAsia" w:asciiTheme="minorEastAsia" w:hAnsiTheme="minorEastAsia" w:eastAsiaTheme="minorEastAsia" w:cstheme="minorEastAsia"/>
                <w:i w:val="0"/>
                <w:iCs w:val="0"/>
                <w:caps w:val="0"/>
                <w:color w:val="404040"/>
                <w:spacing w:val="0"/>
                <w:sz w:val="24"/>
                <w:szCs w:val="24"/>
                <w:shd w:val="clear" w:fill="FFFFFF"/>
              </w:rPr>
              <w:t>人才培养体系的总体架构与核心理念，确定了成果的研究方向与实施路径</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实践负责人</w:t>
            </w:r>
            <w:r>
              <w:rPr>
                <w:rFonts w:hint="eastAsia" w:asciiTheme="minorEastAsia" w:hAnsiTheme="minorEastAsia" w:eastAsiaTheme="minorEastAsia" w:cstheme="minorEastAsia"/>
                <w:i w:val="0"/>
                <w:iCs w:val="0"/>
                <w:caps w:val="0"/>
                <w:color w:val="404040"/>
                <w:spacing w:val="0"/>
                <w:sz w:val="24"/>
                <w:szCs w:val="24"/>
                <w:shd w:val="clear" w:fill="FFFFFF"/>
              </w:rPr>
              <w:t>：主导推动医药康养系的专业群整合与建设，主持建设</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高水平智能化康养实训基地</w:t>
            </w:r>
            <w:r>
              <w:rPr>
                <w:rFonts w:hint="eastAsia" w:asciiTheme="minorEastAsia" w:hAnsiTheme="minorEastAsia" w:eastAsiaTheme="minorEastAsia" w:cstheme="minorEastAsia"/>
                <w:i w:val="0"/>
                <w:iCs w:val="0"/>
                <w:caps w:val="0"/>
                <w:color w:val="404040"/>
                <w:spacing w:val="0"/>
                <w:sz w:val="24"/>
                <w:szCs w:val="24"/>
                <w:shd w:val="clear" w:fill="FFFFFF"/>
              </w:rPr>
              <w:t>（三境），牵头与</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广西梧州制药、贺州西麦食品</w:t>
            </w:r>
            <w:r>
              <w:rPr>
                <w:rFonts w:hint="eastAsia" w:asciiTheme="minorEastAsia" w:hAnsiTheme="minorEastAsia" w:eastAsiaTheme="minorEastAsia" w:cstheme="minorEastAsia"/>
                <w:i w:val="0"/>
                <w:iCs w:val="0"/>
                <w:caps w:val="0"/>
                <w:color w:val="404040"/>
                <w:spacing w:val="0"/>
                <w:sz w:val="24"/>
                <w:szCs w:val="24"/>
                <w:shd w:val="clear" w:fill="FFFFFF"/>
              </w:rPr>
              <w:t>等企业签订深度合作协议，落实“企业课堂”与“社区服务”项目，保障了成果的有效落地。</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资源协调者</w:t>
            </w:r>
            <w:r>
              <w:rPr>
                <w:rFonts w:hint="eastAsia" w:asciiTheme="minorEastAsia" w:hAnsiTheme="minorEastAsia" w:eastAsiaTheme="minorEastAsia" w:cstheme="minorEastAsia"/>
                <w:i w:val="0"/>
                <w:iCs w:val="0"/>
                <w:caps w:val="0"/>
                <w:color w:val="404040"/>
                <w:spacing w:val="0"/>
                <w:sz w:val="24"/>
                <w:szCs w:val="24"/>
                <w:shd w:val="clear" w:fill="FFFFFF"/>
              </w:rPr>
              <w:t>：统筹协调校内外资源，为成果实践提供政策、经费和师资保障。主持制定了一系列配套管理制度，激励教师投身教学改革。</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总结提炼者</w:t>
            </w:r>
            <w:r>
              <w:rPr>
                <w:rFonts w:hint="eastAsia" w:asciiTheme="minorEastAsia" w:hAnsiTheme="minorEastAsia" w:eastAsiaTheme="minorEastAsia" w:cstheme="minorEastAsia"/>
                <w:i w:val="0"/>
                <w:iCs w:val="0"/>
                <w:caps w:val="0"/>
                <w:color w:val="404040"/>
                <w:spacing w:val="0"/>
                <w:sz w:val="24"/>
                <w:szCs w:val="24"/>
                <w:shd w:val="clear" w:fill="FFFFFF"/>
              </w:rPr>
              <w:t>：全面负责成果的总结与凝练工作，主持撰写本申报书，精准概括了成果的核心内容、创新点与推广价值。</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推广应用者</w:t>
            </w:r>
            <w:r>
              <w:rPr>
                <w:rFonts w:hint="eastAsia" w:asciiTheme="minorEastAsia" w:hAnsiTheme="minorEastAsia" w:eastAsiaTheme="minorEastAsia" w:cstheme="minorEastAsia"/>
                <w:i w:val="0"/>
                <w:iCs w:val="0"/>
                <w:caps w:val="0"/>
                <w:color w:val="404040"/>
                <w:spacing w:val="0"/>
                <w:sz w:val="24"/>
                <w:szCs w:val="24"/>
                <w:shd w:val="clear" w:fill="FFFFFF"/>
              </w:rPr>
              <w:t>：通过专题报告、经验交流会等形式，向区内兄弟院校推广本成果，牵头接待多批次考察团，扩大了成果的辐射影响力。</w:t>
            </w:r>
          </w:p>
          <w:p w14:paraId="755EB1F1">
            <w:pPr>
              <w:ind w:firstLine="600"/>
              <w:rPr>
                <w:rFonts w:hint="eastAsia" w:ascii="宋体" w:hAnsi="宋体" w:eastAsia="宋体"/>
                <w:sz w:val="24"/>
                <w:szCs w:val="24"/>
              </w:rPr>
            </w:pPr>
          </w:p>
          <w:p w14:paraId="760E3B51">
            <w:pPr>
              <w:ind w:firstLine="600"/>
              <w:rPr>
                <w:rFonts w:hint="eastAsia" w:ascii="宋体" w:hAnsi="宋体" w:eastAsia="宋体"/>
                <w:sz w:val="24"/>
                <w:szCs w:val="24"/>
                <w:u w:val="single"/>
                <w:lang w:val="en-US" w:eastAsia="zh-CN"/>
              </w:rPr>
            </w:pPr>
            <w:r>
              <w:rPr>
                <w:rFonts w:hint="eastAsia" w:ascii="宋体" w:hAnsi="宋体" w:eastAsia="宋体"/>
                <w:sz w:val="24"/>
                <w:szCs w:val="24"/>
              </w:rPr>
              <w:t>本人签名：</w:t>
            </w:r>
          </w:p>
          <w:p w14:paraId="3B693A1D">
            <w:pPr>
              <w:ind w:left="-2" w:firstLine="5640"/>
              <w:rPr>
                <w:rFonts w:hint="eastAsia" w:ascii="宋体" w:hAnsi="宋体" w:eastAsia="宋体"/>
                <w:sz w:val="24"/>
                <w:szCs w:val="24"/>
              </w:rPr>
            </w:pPr>
            <w:r>
              <w:rPr>
                <w:rFonts w:hint="eastAsia" w:ascii="宋体" w:hAnsi="宋体" w:eastAsia="宋体"/>
                <w:sz w:val="24"/>
                <w:szCs w:val="24"/>
                <w:lang w:val="en-US" w:eastAsia="zh-CN"/>
              </w:rPr>
              <w:t>2025</w:t>
            </w:r>
            <w:r>
              <w:rPr>
                <w:rFonts w:hint="eastAsia" w:ascii="宋体" w:hAnsi="宋体" w:eastAsia="宋体"/>
                <w:sz w:val="24"/>
                <w:szCs w:val="24"/>
              </w:rPr>
              <w:t>年</w:t>
            </w:r>
            <w:r>
              <w:rPr>
                <w:rFonts w:hint="eastAsia" w:ascii="宋体" w:hAnsi="宋体" w:eastAsia="宋体"/>
                <w:sz w:val="24"/>
                <w:szCs w:val="24"/>
                <w:lang w:val="en-US" w:eastAsia="zh-CN"/>
              </w:rPr>
              <w:t xml:space="preserve"> 9 </w:t>
            </w:r>
            <w:r>
              <w:rPr>
                <w:rFonts w:hint="eastAsia" w:ascii="宋体" w:hAnsi="宋体" w:eastAsia="宋体"/>
                <w:sz w:val="24"/>
                <w:szCs w:val="24"/>
              </w:rPr>
              <w:t>月</w:t>
            </w:r>
            <w:r>
              <w:rPr>
                <w:rFonts w:hint="eastAsia" w:ascii="宋体" w:hAnsi="宋体" w:eastAsia="宋体"/>
                <w:sz w:val="24"/>
                <w:szCs w:val="24"/>
                <w:lang w:val="en-US" w:eastAsia="zh-CN"/>
              </w:rPr>
              <w:t xml:space="preserve"> 1 </w:t>
            </w:r>
            <w:r>
              <w:rPr>
                <w:rFonts w:hint="eastAsia" w:ascii="宋体" w:hAnsi="宋体" w:eastAsia="宋体"/>
                <w:sz w:val="24"/>
                <w:szCs w:val="24"/>
              </w:rPr>
              <w:t>日</w:t>
            </w:r>
          </w:p>
          <w:p w14:paraId="028F345E">
            <w:pPr>
              <w:ind w:left="-2" w:firstLine="5640"/>
              <w:rPr>
                <w:rFonts w:hint="eastAsia" w:ascii="宋体" w:hAnsi="宋体" w:eastAsia="宋体"/>
                <w:sz w:val="24"/>
                <w:szCs w:val="24"/>
              </w:rPr>
            </w:pPr>
          </w:p>
          <w:p w14:paraId="281B91FF">
            <w:pPr>
              <w:ind w:left="-2" w:firstLine="5640"/>
              <w:rPr>
                <w:rFonts w:hint="eastAsia" w:ascii="宋体" w:hAnsi="宋体" w:eastAsia="宋体"/>
                <w:sz w:val="24"/>
                <w:szCs w:val="24"/>
                <w:lang w:eastAsia="zh-CN"/>
              </w:rPr>
            </w:pPr>
          </w:p>
        </w:tc>
      </w:tr>
    </w:tbl>
    <w:p w14:paraId="32450BD7">
      <w:pPr>
        <w:jc w:val="center"/>
        <w:rPr>
          <w:rFonts w:hint="eastAsia" w:ascii="黑体" w:hAnsi="黑体" w:eastAsia="黑体"/>
          <w:szCs w:val="32"/>
          <w:lang w:val="en-US" w:eastAsia="zh-CN"/>
        </w:rPr>
      </w:pPr>
    </w:p>
    <w:p w14:paraId="7013B0F7">
      <w:pPr>
        <w:jc w:val="both"/>
        <w:rPr>
          <w:rFonts w:hint="eastAsia" w:ascii="黑体" w:hAnsi="黑体" w:eastAsia="黑体"/>
          <w:szCs w:val="32"/>
          <w:lang w:val="en-US" w:eastAsia="zh-CN"/>
        </w:rPr>
      </w:pPr>
    </w:p>
    <w:p w14:paraId="61EBAEF8">
      <w:pPr>
        <w:jc w:val="center"/>
        <w:rPr>
          <w:rFonts w:hint="eastAsia" w:ascii="黑体" w:hAnsi="黑体" w:eastAsia="黑体"/>
          <w:szCs w:val="32"/>
        </w:rPr>
      </w:pPr>
      <w:r>
        <w:rPr>
          <w:rFonts w:hint="eastAsia" w:ascii="黑体" w:hAnsi="黑体" w:eastAsia="黑体"/>
          <w:szCs w:val="32"/>
          <w:lang w:val="en-US" w:eastAsia="zh-CN"/>
        </w:rPr>
        <w:t>主</w:t>
      </w:r>
      <w:r>
        <w:rPr>
          <w:rFonts w:hint="eastAsia" w:ascii="黑体" w:hAnsi="黑体" w:eastAsia="黑体"/>
          <w:szCs w:val="32"/>
        </w:rPr>
        <w:t>要完成人情况</w:t>
      </w:r>
    </w:p>
    <w:tbl>
      <w:tblPr>
        <w:tblStyle w:val="5"/>
        <w:tblW w:w="90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5"/>
        <w:gridCol w:w="1409"/>
        <w:gridCol w:w="2800"/>
        <w:gridCol w:w="1464"/>
        <w:gridCol w:w="2565"/>
      </w:tblGrid>
      <w:tr w14:paraId="0577F5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254" w:type="dxa"/>
            <w:gridSpan w:val="2"/>
            <w:noWrap w:val="0"/>
            <w:vAlign w:val="center"/>
          </w:tcPr>
          <w:p w14:paraId="2976CC24">
            <w:pPr>
              <w:ind w:left="-3"/>
              <w:jc w:val="center"/>
              <w:rPr>
                <w:rFonts w:hint="eastAsia" w:ascii="宋体" w:hAnsi="宋体" w:eastAsia="宋体"/>
                <w:sz w:val="24"/>
                <w:szCs w:val="24"/>
              </w:rPr>
            </w:pPr>
            <w:r>
              <w:rPr>
                <w:rFonts w:hint="eastAsia" w:ascii="宋体" w:hAnsi="宋体" w:eastAsia="宋体"/>
                <w:sz w:val="24"/>
                <w:szCs w:val="24"/>
              </w:rPr>
              <w:t>第（</w:t>
            </w:r>
            <w:r>
              <w:rPr>
                <w:rFonts w:hint="eastAsia" w:ascii="宋体" w:hAnsi="宋体" w:eastAsia="宋体"/>
                <w:sz w:val="24"/>
                <w:szCs w:val="24"/>
                <w:lang w:val="en-US" w:eastAsia="zh-CN"/>
              </w:rPr>
              <w:t>二</w:t>
            </w:r>
            <w:r>
              <w:rPr>
                <w:rFonts w:hint="eastAsia" w:ascii="宋体" w:hAnsi="宋体" w:eastAsia="宋体"/>
                <w:sz w:val="24"/>
                <w:szCs w:val="24"/>
              </w:rPr>
              <w:t>）完成人姓名</w:t>
            </w:r>
          </w:p>
          <w:p w14:paraId="11276A49">
            <w:pPr>
              <w:ind w:left="-3"/>
              <w:jc w:val="center"/>
              <w:rPr>
                <w:rFonts w:hint="eastAsia" w:ascii="宋体" w:hAnsi="宋体" w:eastAsia="宋体"/>
                <w:sz w:val="24"/>
                <w:szCs w:val="24"/>
              </w:rPr>
            </w:pPr>
            <w:r>
              <w:rPr>
                <w:rFonts w:hint="eastAsia" w:ascii="宋体" w:hAnsi="宋体" w:eastAsia="宋体"/>
                <w:sz w:val="24"/>
                <w:szCs w:val="24"/>
              </w:rPr>
              <w:t>（前三完成人填写）</w:t>
            </w:r>
          </w:p>
        </w:tc>
        <w:tc>
          <w:tcPr>
            <w:tcW w:w="2800" w:type="dxa"/>
            <w:noWrap w:val="0"/>
            <w:vAlign w:val="center"/>
          </w:tcPr>
          <w:p w14:paraId="2EEFB53C">
            <w:pPr>
              <w:ind w:left="-3" w:leftChars="0"/>
              <w:jc w:val="center"/>
              <w:rPr>
                <w:rFonts w:hint="eastAsia" w:ascii="宋体" w:hAnsi="宋体" w:eastAsia="宋体"/>
                <w:sz w:val="24"/>
                <w:szCs w:val="24"/>
              </w:rPr>
            </w:pPr>
            <w:r>
              <w:rPr>
                <w:rFonts w:hint="eastAsia" w:ascii="宋体" w:hAnsi="宋体" w:eastAsia="宋体"/>
                <w:sz w:val="24"/>
                <w:szCs w:val="24"/>
                <w:lang w:val="en-US" w:eastAsia="zh-CN"/>
              </w:rPr>
              <w:t>岑惠杰</w:t>
            </w:r>
          </w:p>
        </w:tc>
        <w:tc>
          <w:tcPr>
            <w:tcW w:w="1464" w:type="dxa"/>
            <w:noWrap w:val="0"/>
            <w:vAlign w:val="center"/>
          </w:tcPr>
          <w:p w14:paraId="475669C7">
            <w:pPr>
              <w:jc w:val="center"/>
              <w:rPr>
                <w:rFonts w:hint="eastAsia" w:ascii="宋体" w:hAnsi="宋体" w:eastAsia="宋体"/>
                <w:sz w:val="24"/>
                <w:szCs w:val="24"/>
              </w:rPr>
            </w:pPr>
            <w:r>
              <w:rPr>
                <w:rFonts w:hint="eastAsia" w:ascii="宋体" w:hAnsi="宋体" w:eastAsia="宋体"/>
                <w:sz w:val="24"/>
                <w:szCs w:val="24"/>
              </w:rPr>
              <w:t>出生年月</w:t>
            </w:r>
          </w:p>
        </w:tc>
        <w:tc>
          <w:tcPr>
            <w:tcW w:w="2565" w:type="dxa"/>
            <w:noWrap w:val="0"/>
            <w:vAlign w:val="center"/>
          </w:tcPr>
          <w:p w14:paraId="4089BC8F">
            <w:pPr>
              <w:ind w:left="-3" w:leftChars="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1984年8月</w:t>
            </w:r>
          </w:p>
        </w:tc>
      </w:tr>
      <w:tr w14:paraId="46153E3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254" w:type="dxa"/>
            <w:gridSpan w:val="2"/>
            <w:noWrap w:val="0"/>
            <w:vAlign w:val="center"/>
          </w:tcPr>
          <w:p w14:paraId="0E8C7F5E">
            <w:pPr>
              <w:ind w:left="-3"/>
              <w:jc w:val="center"/>
              <w:rPr>
                <w:rFonts w:hint="eastAsia" w:ascii="宋体" w:hAnsi="宋体" w:eastAsia="宋体"/>
                <w:sz w:val="24"/>
                <w:szCs w:val="24"/>
              </w:rPr>
            </w:pPr>
            <w:r>
              <w:rPr>
                <w:rFonts w:hint="eastAsia" w:ascii="宋体" w:hAnsi="宋体" w:eastAsia="宋体"/>
                <w:sz w:val="24"/>
                <w:szCs w:val="24"/>
              </w:rPr>
              <w:t>最后学历</w:t>
            </w:r>
          </w:p>
        </w:tc>
        <w:tc>
          <w:tcPr>
            <w:tcW w:w="2800" w:type="dxa"/>
            <w:noWrap w:val="0"/>
            <w:vAlign w:val="center"/>
          </w:tcPr>
          <w:p w14:paraId="040BD2EC">
            <w:pPr>
              <w:ind w:left="-3" w:leftChars="0"/>
              <w:jc w:val="center"/>
              <w:rPr>
                <w:rFonts w:hint="eastAsia" w:ascii="宋体" w:hAnsi="宋体" w:eastAsia="宋体"/>
                <w:sz w:val="24"/>
                <w:szCs w:val="24"/>
              </w:rPr>
            </w:pPr>
            <w:r>
              <w:rPr>
                <w:rFonts w:hint="eastAsia" w:ascii="宋体" w:hAnsi="宋体" w:eastAsia="宋体"/>
                <w:sz w:val="24"/>
                <w:szCs w:val="24"/>
                <w:lang w:val="en-US" w:eastAsia="zh-CN"/>
              </w:rPr>
              <w:t>研究生</w:t>
            </w:r>
          </w:p>
        </w:tc>
        <w:tc>
          <w:tcPr>
            <w:tcW w:w="1464" w:type="dxa"/>
            <w:noWrap w:val="0"/>
            <w:vAlign w:val="center"/>
          </w:tcPr>
          <w:p w14:paraId="4CAE1677">
            <w:pPr>
              <w:jc w:val="center"/>
              <w:rPr>
                <w:rFonts w:hint="eastAsia" w:ascii="宋体" w:hAnsi="宋体" w:eastAsia="宋体"/>
                <w:sz w:val="24"/>
                <w:szCs w:val="24"/>
              </w:rPr>
            </w:pPr>
            <w:r>
              <w:rPr>
                <w:rFonts w:hint="eastAsia" w:ascii="宋体" w:hAnsi="宋体" w:eastAsia="宋体"/>
                <w:sz w:val="24"/>
                <w:szCs w:val="24"/>
              </w:rPr>
              <w:t>工龄/教龄</w:t>
            </w:r>
          </w:p>
        </w:tc>
        <w:tc>
          <w:tcPr>
            <w:tcW w:w="2565" w:type="dxa"/>
            <w:noWrap w:val="0"/>
            <w:vAlign w:val="center"/>
          </w:tcPr>
          <w:p w14:paraId="03CA7F75">
            <w:pPr>
              <w:ind w:left="-3" w:leftChars="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18年</w:t>
            </w:r>
          </w:p>
        </w:tc>
      </w:tr>
      <w:tr w14:paraId="419002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254" w:type="dxa"/>
            <w:gridSpan w:val="2"/>
            <w:noWrap w:val="0"/>
            <w:vAlign w:val="center"/>
          </w:tcPr>
          <w:p w14:paraId="7188D652">
            <w:pPr>
              <w:ind w:left="-3"/>
              <w:jc w:val="center"/>
              <w:rPr>
                <w:rFonts w:hint="eastAsia" w:ascii="宋体" w:hAnsi="宋体" w:eastAsia="宋体"/>
                <w:sz w:val="24"/>
                <w:szCs w:val="24"/>
              </w:rPr>
            </w:pPr>
            <w:r>
              <w:rPr>
                <w:rFonts w:hint="eastAsia" w:ascii="宋体" w:hAnsi="宋体" w:eastAsia="宋体"/>
                <w:sz w:val="24"/>
                <w:szCs w:val="24"/>
              </w:rPr>
              <w:t>工作单位</w:t>
            </w:r>
          </w:p>
        </w:tc>
        <w:tc>
          <w:tcPr>
            <w:tcW w:w="2800" w:type="dxa"/>
            <w:noWrap w:val="0"/>
            <w:vAlign w:val="center"/>
          </w:tcPr>
          <w:p w14:paraId="683D5ABF">
            <w:pPr>
              <w:ind w:left="-3" w:leftChars="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广西南宁技师学院</w:t>
            </w:r>
          </w:p>
        </w:tc>
        <w:tc>
          <w:tcPr>
            <w:tcW w:w="1464" w:type="dxa"/>
            <w:noWrap w:val="0"/>
            <w:vAlign w:val="center"/>
          </w:tcPr>
          <w:p w14:paraId="596C8C0B">
            <w:pPr>
              <w:jc w:val="center"/>
              <w:rPr>
                <w:rFonts w:hint="eastAsia" w:ascii="宋体" w:hAnsi="宋体" w:eastAsia="宋体"/>
                <w:sz w:val="24"/>
                <w:szCs w:val="24"/>
              </w:rPr>
            </w:pPr>
            <w:r>
              <w:rPr>
                <w:rFonts w:hint="eastAsia" w:ascii="宋体" w:hAnsi="宋体" w:eastAsia="宋体"/>
                <w:sz w:val="24"/>
                <w:szCs w:val="24"/>
              </w:rPr>
              <w:t>现任职务/职称</w:t>
            </w:r>
          </w:p>
        </w:tc>
        <w:tc>
          <w:tcPr>
            <w:tcW w:w="2565" w:type="dxa"/>
            <w:noWrap w:val="0"/>
            <w:vAlign w:val="center"/>
          </w:tcPr>
          <w:p w14:paraId="415351B9">
            <w:pPr>
              <w:ind w:left="-3" w:leftChars="0"/>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教师/讲师</w:t>
            </w:r>
          </w:p>
        </w:tc>
      </w:tr>
      <w:tr w14:paraId="103E17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9" w:hRule="atLeast"/>
          <w:jc w:val="center"/>
        </w:trPr>
        <w:tc>
          <w:tcPr>
            <w:tcW w:w="2254" w:type="dxa"/>
            <w:gridSpan w:val="2"/>
            <w:noWrap w:val="0"/>
            <w:vAlign w:val="center"/>
          </w:tcPr>
          <w:p w14:paraId="6444E69B">
            <w:pPr>
              <w:ind w:left="-3"/>
              <w:jc w:val="center"/>
              <w:rPr>
                <w:rFonts w:hint="eastAsia" w:ascii="宋体" w:hAnsi="宋体" w:eastAsia="宋体"/>
                <w:sz w:val="24"/>
                <w:szCs w:val="24"/>
              </w:rPr>
            </w:pPr>
            <w:r>
              <w:rPr>
                <w:rFonts w:hint="eastAsia" w:ascii="宋体" w:hAnsi="宋体" w:eastAsia="宋体"/>
                <w:sz w:val="24"/>
                <w:szCs w:val="24"/>
              </w:rPr>
              <w:t>何时何地获何种</w:t>
            </w:r>
          </w:p>
          <w:p w14:paraId="4A31D8E4">
            <w:pPr>
              <w:ind w:left="-3"/>
              <w:jc w:val="center"/>
              <w:rPr>
                <w:rFonts w:hint="eastAsia" w:ascii="宋体" w:hAnsi="宋体" w:eastAsia="宋体"/>
                <w:sz w:val="24"/>
                <w:szCs w:val="24"/>
              </w:rPr>
            </w:pPr>
            <w:r>
              <w:rPr>
                <w:rFonts w:hint="eastAsia" w:ascii="宋体" w:hAnsi="宋体" w:eastAsia="宋体"/>
                <w:sz w:val="24"/>
                <w:szCs w:val="24"/>
              </w:rPr>
              <w:t>校级及以上奖励</w:t>
            </w:r>
          </w:p>
        </w:tc>
        <w:tc>
          <w:tcPr>
            <w:tcW w:w="6829" w:type="dxa"/>
            <w:gridSpan w:val="3"/>
            <w:noWrap w:val="0"/>
            <w:vAlign w:val="center"/>
          </w:tcPr>
          <w:p w14:paraId="45996A23">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1.2025年被评为南宁市教学骨干。</w:t>
            </w:r>
          </w:p>
          <w:p w14:paraId="4D7B0C18">
            <w:pPr>
              <w:ind w:left="-3"/>
              <w:jc w:val="left"/>
              <w:rPr>
                <w:rFonts w:hint="default" w:ascii="宋体" w:hAnsi="宋体" w:eastAsia="宋体"/>
                <w:sz w:val="24"/>
                <w:szCs w:val="24"/>
                <w:lang w:val="en-US" w:eastAsia="zh-CN"/>
              </w:rPr>
            </w:pPr>
            <w:r>
              <w:rPr>
                <w:rFonts w:hint="eastAsia" w:ascii="宋体" w:hAnsi="宋体" w:eastAsia="宋体"/>
                <w:sz w:val="24"/>
                <w:szCs w:val="24"/>
                <w:lang w:val="en-US" w:eastAsia="zh-CN"/>
              </w:rPr>
              <w:t>2.被评为广西南宁技师学院2020-2021学年度“优秀教师”</w:t>
            </w:r>
          </w:p>
          <w:p w14:paraId="7ACB437D">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3.被评为广西南宁技师学院2023-2024学年度“优秀教师”</w:t>
            </w:r>
          </w:p>
          <w:p w14:paraId="397E0A4D">
            <w:pPr>
              <w:ind w:left="-3"/>
              <w:jc w:val="left"/>
              <w:rPr>
                <w:rFonts w:hint="default" w:ascii="宋体" w:hAnsi="宋体" w:eastAsia="宋体"/>
                <w:sz w:val="24"/>
                <w:szCs w:val="24"/>
                <w:lang w:val="en-US" w:eastAsia="zh-CN"/>
              </w:rPr>
            </w:pPr>
            <w:r>
              <w:rPr>
                <w:rFonts w:hint="eastAsia" w:ascii="宋体" w:hAnsi="宋体" w:eastAsia="宋体"/>
                <w:sz w:val="24"/>
                <w:szCs w:val="24"/>
                <w:lang w:val="en-US" w:eastAsia="zh-CN"/>
              </w:rPr>
              <w:t>4.2025年作为项目负责人设计药物制剂专业一体化建设工作</w:t>
            </w:r>
          </w:p>
          <w:p w14:paraId="6729B3B2">
            <w:pPr>
              <w:ind w:left="-3"/>
              <w:jc w:val="left"/>
              <w:rPr>
                <w:rFonts w:hint="default" w:ascii="宋体" w:hAnsi="宋体" w:eastAsia="宋体"/>
                <w:sz w:val="24"/>
                <w:szCs w:val="24"/>
                <w:lang w:val="en-US" w:eastAsia="zh-CN"/>
              </w:rPr>
            </w:pPr>
            <w:r>
              <w:rPr>
                <w:rFonts w:hint="eastAsia" w:ascii="宋体" w:hAnsi="宋体" w:eastAsia="宋体"/>
                <w:sz w:val="24"/>
                <w:szCs w:val="24"/>
                <w:lang w:val="en-US" w:eastAsia="zh-CN"/>
              </w:rPr>
              <w:t>5.2025指导学生获得广西职业院校技能大赛化学实验技术赛项二等奖</w:t>
            </w:r>
          </w:p>
          <w:p w14:paraId="37A02DD0">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6.2020年参加第二届全国技工院校教师职业能力大赛广西选拔赛获三等奖</w:t>
            </w:r>
          </w:p>
          <w:p w14:paraId="2E631751">
            <w:pPr>
              <w:ind w:left="-3"/>
              <w:jc w:val="left"/>
              <w:rPr>
                <w:rFonts w:hint="eastAsia" w:ascii="宋体" w:hAnsi="宋体" w:eastAsia="宋体"/>
                <w:sz w:val="24"/>
                <w:szCs w:val="24"/>
                <w:lang w:eastAsia="zh-CN"/>
              </w:rPr>
            </w:pPr>
            <w:r>
              <w:rPr>
                <w:rFonts w:hint="eastAsia" w:ascii="宋体" w:hAnsi="宋体" w:eastAsia="宋体"/>
                <w:sz w:val="24"/>
                <w:szCs w:val="24"/>
                <w:lang w:val="en-US" w:eastAsia="zh-CN"/>
              </w:rPr>
              <w:t>7.2022年参加第三届全国技工院校教师职业能力大赛广西选拔赛获三等奖</w:t>
            </w:r>
          </w:p>
        </w:tc>
      </w:tr>
      <w:tr w14:paraId="303A1D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31" w:hRule="atLeast"/>
          <w:jc w:val="center"/>
        </w:trPr>
        <w:tc>
          <w:tcPr>
            <w:tcW w:w="845" w:type="dxa"/>
            <w:noWrap w:val="0"/>
            <w:vAlign w:val="center"/>
          </w:tcPr>
          <w:p w14:paraId="20460793">
            <w:pPr>
              <w:ind w:left="-3"/>
              <w:jc w:val="center"/>
              <w:rPr>
                <w:rFonts w:hint="eastAsia" w:ascii="宋体" w:hAnsi="宋体" w:eastAsia="宋体"/>
                <w:sz w:val="24"/>
                <w:szCs w:val="24"/>
              </w:rPr>
            </w:pPr>
          </w:p>
          <w:p w14:paraId="3FFFD0B9">
            <w:pPr>
              <w:ind w:left="-3"/>
              <w:jc w:val="center"/>
              <w:rPr>
                <w:rFonts w:hint="eastAsia" w:ascii="宋体" w:hAnsi="宋体" w:eastAsia="宋体"/>
                <w:sz w:val="24"/>
                <w:szCs w:val="24"/>
              </w:rPr>
            </w:pPr>
            <w:r>
              <w:rPr>
                <w:rFonts w:hint="eastAsia" w:ascii="宋体" w:hAnsi="宋体" w:eastAsia="宋体"/>
                <w:sz w:val="24"/>
                <w:szCs w:val="24"/>
              </w:rPr>
              <w:t>主</w:t>
            </w:r>
          </w:p>
          <w:p w14:paraId="3EBBFF08">
            <w:pPr>
              <w:rPr>
                <w:rFonts w:hint="eastAsia" w:ascii="宋体" w:hAnsi="宋体" w:eastAsia="宋体"/>
                <w:sz w:val="24"/>
                <w:szCs w:val="24"/>
              </w:rPr>
            </w:pPr>
          </w:p>
          <w:p w14:paraId="3526241C">
            <w:pPr>
              <w:ind w:left="-3"/>
              <w:jc w:val="center"/>
              <w:rPr>
                <w:rFonts w:hint="eastAsia" w:ascii="宋体" w:hAnsi="宋体" w:eastAsia="宋体"/>
                <w:sz w:val="24"/>
                <w:szCs w:val="24"/>
              </w:rPr>
            </w:pPr>
            <w:r>
              <w:rPr>
                <w:rFonts w:hint="eastAsia" w:ascii="宋体" w:hAnsi="宋体" w:eastAsia="宋体"/>
                <w:sz w:val="24"/>
                <w:szCs w:val="24"/>
              </w:rPr>
              <w:t>要</w:t>
            </w:r>
          </w:p>
          <w:p w14:paraId="7DCF8FB7">
            <w:pPr>
              <w:rPr>
                <w:rFonts w:hint="eastAsia" w:ascii="宋体" w:hAnsi="宋体" w:eastAsia="宋体"/>
                <w:sz w:val="24"/>
                <w:szCs w:val="24"/>
              </w:rPr>
            </w:pPr>
          </w:p>
          <w:p w14:paraId="54AE391B">
            <w:pPr>
              <w:ind w:left="-3"/>
              <w:jc w:val="center"/>
              <w:rPr>
                <w:rFonts w:hint="eastAsia" w:ascii="宋体" w:hAnsi="宋体" w:eastAsia="宋体"/>
                <w:sz w:val="24"/>
                <w:szCs w:val="24"/>
              </w:rPr>
            </w:pPr>
            <w:r>
              <w:rPr>
                <w:rFonts w:hint="eastAsia" w:ascii="宋体" w:hAnsi="宋体" w:eastAsia="宋体"/>
                <w:sz w:val="24"/>
                <w:szCs w:val="24"/>
              </w:rPr>
              <w:t>贡</w:t>
            </w:r>
          </w:p>
          <w:p w14:paraId="42D37F47">
            <w:pPr>
              <w:ind w:left="-3"/>
              <w:jc w:val="center"/>
              <w:rPr>
                <w:rFonts w:hint="eastAsia" w:ascii="宋体" w:hAnsi="宋体" w:eastAsia="宋体"/>
                <w:sz w:val="24"/>
                <w:szCs w:val="24"/>
              </w:rPr>
            </w:pPr>
          </w:p>
          <w:p w14:paraId="72D16A04">
            <w:pPr>
              <w:ind w:left="-3"/>
              <w:jc w:val="center"/>
              <w:rPr>
                <w:rFonts w:hint="eastAsia" w:ascii="宋体" w:hAnsi="宋体" w:eastAsia="宋体"/>
                <w:sz w:val="24"/>
                <w:szCs w:val="24"/>
              </w:rPr>
            </w:pPr>
            <w:r>
              <w:rPr>
                <w:rFonts w:hint="eastAsia" w:ascii="宋体" w:hAnsi="宋体" w:eastAsia="宋体"/>
                <w:sz w:val="24"/>
                <w:szCs w:val="24"/>
              </w:rPr>
              <w:t>献</w:t>
            </w:r>
          </w:p>
          <w:p w14:paraId="2CB73E2F">
            <w:pPr>
              <w:ind w:left="-3"/>
              <w:jc w:val="center"/>
              <w:rPr>
                <w:rFonts w:hint="eastAsia" w:ascii="宋体" w:hAnsi="宋体" w:eastAsia="宋体"/>
                <w:sz w:val="24"/>
                <w:szCs w:val="24"/>
              </w:rPr>
            </w:pPr>
          </w:p>
        </w:tc>
        <w:tc>
          <w:tcPr>
            <w:tcW w:w="8238" w:type="dxa"/>
            <w:gridSpan w:val="4"/>
            <w:noWrap w:val="0"/>
            <w:vAlign w:val="bottom"/>
          </w:tcPr>
          <w:p w14:paraId="48BFD399">
            <w:pPr>
              <w:spacing w:line="360" w:lineRule="auto"/>
              <w:ind w:left="-3" w:firstLine="720" w:firstLineChars="300"/>
              <w:jc w:val="left"/>
              <w:rPr>
                <w:rFonts w:hint="eastAsia" w:ascii="宋体" w:hAnsi="宋体" w:eastAsia="宋体"/>
                <w:sz w:val="24"/>
                <w:szCs w:val="24"/>
                <w:lang w:val="en-US" w:eastAsia="zh-CN"/>
              </w:rPr>
            </w:pPr>
          </w:p>
          <w:p w14:paraId="7B89D2E1">
            <w:pPr>
              <w:spacing w:line="360" w:lineRule="auto"/>
              <w:ind w:left="-3" w:firstLine="720" w:firstLineChars="300"/>
              <w:jc w:val="left"/>
              <w:rPr>
                <w:rFonts w:hint="eastAsia" w:ascii="宋体" w:hAnsi="宋体" w:eastAsia="宋体"/>
                <w:sz w:val="24"/>
                <w:szCs w:val="24"/>
                <w:lang w:val="en-US" w:eastAsia="zh-CN"/>
              </w:rPr>
            </w:pPr>
            <w:r>
              <w:rPr>
                <w:rFonts w:hint="eastAsia" w:ascii="宋体" w:hAnsi="宋体" w:eastAsia="宋体"/>
                <w:sz w:val="24"/>
                <w:szCs w:val="24"/>
                <w:lang w:val="en-US" w:eastAsia="zh-CN"/>
              </w:rPr>
              <w:t>作为本成果的第二完成人，</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协助整个</w:t>
            </w:r>
            <w:r>
              <w:rPr>
                <w:rFonts w:hint="eastAsia" w:asciiTheme="minorEastAsia" w:hAnsiTheme="minorEastAsia" w:eastAsiaTheme="minorEastAsia" w:cstheme="minorEastAsia"/>
                <w:i w:val="0"/>
                <w:iCs w:val="0"/>
                <w:caps w:val="0"/>
                <w:color w:val="404040"/>
                <w:spacing w:val="0"/>
                <w:sz w:val="24"/>
                <w:szCs w:val="24"/>
                <w:shd w:val="clear" w:fill="FFFFFF"/>
              </w:rPr>
              <w:t>成果的设计、</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实施</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项目推进者：</w:t>
            </w:r>
            <w:r>
              <w:rPr>
                <w:rFonts w:hint="eastAsia" w:asciiTheme="minorEastAsia" w:hAnsiTheme="minorEastAsia" w:eastAsiaTheme="minorEastAsia" w:cstheme="minorEastAsia"/>
                <w:i w:val="0"/>
                <w:iCs w:val="0"/>
                <w:caps w:val="0"/>
                <w:color w:val="404040"/>
                <w:spacing w:val="0"/>
                <w:sz w:val="24"/>
                <w:szCs w:val="24"/>
                <w:shd w:val="clear" w:fill="FFFFFF"/>
              </w:rPr>
              <w:t>总结提炼</w:t>
            </w:r>
            <w:r>
              <w:rPr>
                <w:rFonts w:hint="eastAsia" w:asciiTheme="minorEastAsia" w:hAnsiTheme="minorEastAsia" w:eastAsiaTheme="minorEastAsia" w:cstheme="minorEastAsia"/>
                <w:i w:val="0"/>
                <w:iCs w:val="0"/>
                <w:caps w:val="0"/>
                <w:color w:val="404040"/>
                <w:spacing w:val="0"/>
                <w:sz w:val="24"/>
                <w:szCs w:val="24"/>
                <w:shd w:val="clear" w:fill="FFFFFF"/>
                <w:lang w:eastAsia="zh-CN"/>
              </w:rPr>
              <w:t>，</w:t>
            </w:r>
            <w:r>
              <w:rPr>
                <w:rFonts w:hint="eastAsia" w:ascii="宋体" w:hAnsi="宋体" w:eastAsia="宋体"/>
                <w:sz w:val="24"/>
                <w:szCs w:val="24"/>
                <w:lang w:val="en-US" w:eastAsia="zh-CN"/>
              </w:rPr>
              <w:t>统筹组织和协调推进了康养学院建设</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根据</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“三境工学交替·四岗育训协同”</w:t>
            </w:r>
            <w:r>
              <w:rPr>
                <w:rFonts w:hint="eastAsia" w:asciiTheme="minorEastAsia" w:hAnsiTheme="minorEastAsia" w:eastAsiaTheme="minorEastAsia" w:cstheme="minorEastAsia"/>
                <w:i w:val="0"/>
                <w:iCs w:val="0"/>
                <w:caps w:val="0"/>
                <w:color w:val="404040"/>
                <w:spacing w:val="0"/>
                <w:sz w:val="24"/>
                <w:szCs w:val="24"/>
                <w:shd w:val="clear" w:fill="FFFFFF"/>
              </w:rPr>
              <w:t>人才培养体系的总体架构与核心理念，</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在各专业进行推广和实施，</w:t>
            </w:r>
            <w:r>
              <w:rPr>
                <w:rFonts w:hint="eastAsia" w:ascii="宋体" w:hAnsi="宋体" w:eastAsia="宋体"/>
                <w:sz w:val="24"/>
                <w:szCs w:val="24"/>
                <w:lang w:val="en-US" w:eastAsia="zh-CN"/>
              </w:rPr>
              <w:t>在人才培养方案、实训基地建设、师资队伍建设、教学模式创新、课程建设等方面进行改革探索；</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实践</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实施</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人</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参与</w:t>
            </w:r>
            <w:r>
              <w:rPr>
                <w:rFonts w:hint="eastAsia" w:asciiTheme="minorEastAsia" w:hAnsiTheme="minorEastAsia" w:eastAsiaTheme="minorEastAsia" w:cstheme="minorEastAsia"/>
                <w:i w:val="0"/>
                <w:iCs w:val="0"/>
                <w:caps w:val="0"/>
                <w:color w:val="404040"/>
                <w:spacing w:val="0"/>
                <w:sz w:val="24"/>
                <w:szCs w:val="24"/>
                <w:shd w:val="clear" w:fill="FFFFFF"/>
              </w:rPr>
              <w:t>医药康养系的专业群整合与建设，</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参与</w:t>
            </w:r>
            <w:r>
              <w:rPr>
                <w:rFonts w:hint="eastAsia" w:asciiTheme="minorEastAsia" w:hAnsiTheme="minorEastAsia" w:eastAsiaTheme="minorEastAsia" w:cstheme="minorEastAsia"/>
                <w:i w:val="0"/>
                <w:iCs w:val="0"/>
                <w:caps w:val="0"/>
                <w:color w:val="404040"/>
                <w:spacing w:val="0"/>
                <w:sz w:val="24"/>
                <w:szCs w:val="24"/>
                <w:shd w:val="clear" w:fill="FFFFFF"/>
              </w:rPr>
              <w:t>建设</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高水平智能化康养实训基地</w:t>
            </w:r>
            <w:r>
              <w:rPr>
                <w:rFonts w:hint="eastAsia" w:asciiTheme="minorEastAsia" w:hAnsiTheme="minorEastAsia" w:eastAsiaTheme="minorEastAsia" w:cstheme="minorEastAsia"/>
                <w:i w:val="0"/>
                <w:iCs w:val="0"/>
                <w:caps w:val="0"/>
                <w:color w:val="404040"/>
                <w:spacing w:val="0"/>
                <w:sz w:val="24"/>
                <w:szCs w:val="24"/>
                <w:shd w:val="clear" w:fill="FFFFFF"/>
              </w:rPr>
              <w:t>（三境），</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具体实施</w:t>
            </w:r>
            <w:r>
              <w:rPr>
                <w:rFonts w:hint="eastAsia" w:asciiTheme="minorEastAsia" w:hAnsiTheme="minorEastAsia" w:eastAsiaTheme="minorEastAsia" w:cstheme="minorEastAsia"/>
                <w:i w:val="0"/>
                <w:iCs w:val="0"/>
                <w:caps w:val="0"/>
                <w:color w:val="404040"/>
                <w:spacing w:val="0"/>
                <w:sz w:val="24"/>
                <w:szCs w:val="24"/>
                <w:shd w:val="clear" w:fill="FFFFFF"/>
              </w:rPr>
              <w:t>与</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广西梧州制药、贺州西麦食品</w:t>
            </w:r>
            <w:r>
              <w:rPr>
                <w:rFonts w:hint="eastAsia" w:asciiTheme="minorEastAsia" w:hAnsiTheme="minorEastAsia" w:eastAsiaTheme="minorEastAsia" w:cstheme="minorEastAsia"/>
                <w:i w:val="0"/>
                <w:iCs w:val="0"/>
                <w:caps w:val="0"/>
                <w:color w:val="404040"/>
                <w:spacing w:val="0"/>
                <w:sz w:val="24"/>
                <w:szCs w:val="24"/>
                <w:shd w:val="clear" w:fill="FFFFFF"/>
              </w:rPr>
              <w:t>等企业</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进行校企合作</w:t>
            </w:r>
            <w:r>
              <w:rPr>
                <w:rFonts w:hint="eastAsia" w:asciiTheme="minorEastAsia" w:hAnsiTheme="minorEastAsia" w:eastAsiaTheme="minorEastAsia" w:cstheme="minorEastAsia"/>
                <w:i w:val="0"/>
                <w:iCs w:val="0"/>
                <w:caps w:val="0"/>
                <w:color w:val="404040"/>
                <w:spacing w:val="0"/>
                <w:sz w:val="24"/>
                <w:szCs w:val="24"/>
                <w:shd w:val="clear" w:fill="FFFFFF"/>
              </w:rPr>
              <w:t>，落实“企业课堂”与“社区服务”项目，保障了成果的有效落地。</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材料筹备者</w:t>
            </w:r>
            <w:r>
              <w:rPr>
                <w:rFonts w:hint="eastAsia" w:asciiTheme="minorEastAsia" w:hAnsiTheme="minorEastAsia" w:eastAsiaTheme="minorEastAsia" w:cstheme="minorEastAsia"/>
                <w:i w:val="0"/>
                <w:iCs w:val="0"/>
                <w:caps w:val="0"/>
                <w:color w:val="404040"/>
                <w:spacing w:val="0"/>
                <w:sz w:val="24"/>
                <w:szCs w:val="24"/>
                <w:shd w:val="clear" w:fill="FFFFFF"/>
              </w:rPr>
              <w:t>：</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协助</w:t>
            </w:r>
            <w:r>
              <w:rPr>
                <w:rFonts w:hint="eastAsia" w:asciiTheme="minorEastAsia" w:hAnsiTheme="minorEastAsia" w:eastAsiaTheme="minorEastAsia" w:cstheme="minorEastAsia"/>
                <w:i w:val="0"/>
                <w:iCs w:val="0"/>
                <w:caps w:val="0"/>
                <w:color w:val="404040"/>
                <w:spacing w:val="0"/>
                <w:sz w:val="24"/>
                <w:szCs w:val="24"/>
                <w:shd w:val="clear" w:fill="FFFFFF"/>
              </w:rPr>
              <w:t>成果的总结与凝练工作，</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协助</w:t>
            </w:r>
            <w:r>
              <w:rPr>
                <w:rFonts w:hint="eastAsia" w:asciiTheme="minorEastAsia" w:hAnsiTheme="minorEastAsia" w:eastAsiaTheme="minorEastAsia" w:cstheme="minorEastAsia"/>
                <w:i w:val="0"/>
                <w:iCs w:val="0"/>
                <w:caps w:val="0"/>
                <w:color w:val="404040"/>
                <w:spacing w:val="0"/>
                <w:sz w:val="24"/>
                <w:szCs w:val="24"/>
                <w:shd w:val="clear" w:fill="FFFFFF"/>
              </w:rPr>
              <w:t>撰写申报书，</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提供</w:t>
            </w:r>
            <w:r>
              <w:rPr>
                <w:rFonts w:hint="eastAsia" w:asciiTheme="minorEastAsia" w:hAnsiTheme="minorEastAsia" w:eastAsiaTheme="minorEastAsia" w:cstheme="minorEastAsia"/>
                <w:i w:val="0"/>
                <w:iCs w:val="0"/>
                <w:caps w:val="0"/>
                <w:color w:val="404040"/>
                <w:spacing w:val="0"/>
                <w:sz w:val="24"/>
                <w:szCs w:val="24"/>
                <w:shd w:val="clear" w:fill="FFFFFF"/>
              </w:rPr>
              <w:t>概括了成果的核心内容、创新点与推广价值</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的具体材料</w:t>
            </w:r>
            <w:r>
              <w:rPr>
                <w:rFonts w:hint="eastAsia" w:asciiTheme="minorEastAsia" w:hAnsiTheme="minorEastAsia" w:eastAsiaTheme="minorEastAsia" w:cstheme="minorEastAsia"/>
                <w:i w:val="0"/>
                <w:iCs w:val="0"/>
                <w:caps w:val="0"/>
                <w:color w:val="404040"/>
                <w:spacing w:val="0"/>
                <w:sz w:val="24"/>
                <w:szCs w:val="24"/>
                <w:shd w:val="clear" w:fill="FFFFFF"/>
              </w:rPr>
              <w:t>。</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推广应用者</w:t>
            </w:r>
            <w:r>
              <w:rPr>
                <w:rFonts w:hint="eastAsia" w:asciiTheme="minorEastAsia" w:hAnsiTheme="minorEastAsia" w:eastAsiaTheme="minorEastAsia" w:cstheme="minorEastAsia"/>
                <w:i w:val="0"/>
                <w:iCs w:val="0"/>
                <w:caps w:val="0"/>
                <w:color w:val="404040"/>
                <w:spacing w:val="0"/>
                <w:sz w:val="24"/>
                <w:szCs w:val="24"/>
                <w:shd w:val="clear" w:fill="FFFFFF"/>
              </w:rPr>
              <w:t>：通过专题报告、经验交流会等形式，向区内兄弟院校推广本成果，</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协助</w:t>
            </w:r>
            <w:r>
              <w:rPr>
                <w:rFonts w:hint="eastAsia" w:asciiTheme="minorEastAsia" w:hAnsiTheme="minorEastAsia" w:eastAsiaTheme="minorEastAsia" w:cstheme="minorEastAsia"/>
                <w:i w:val="0"/>
                <w:iCs w:val="0"/>
                <w:caps w:val="0"/>
                <w:color w:val="404040"/>
                <w:spacing w:val="0"/>
                <w:sz w:val="24"/>
                <w:szCs w:val="24"/>
                <w:shd w:val="clear" w:fill="FFFFFF"/>
              </w:rPr>
              <w:t>接待多批次考察团，扩大了成果的辐射影响力。</w:t>
            </w:r>
          </w:p>
          <w:p w14:paraId="623F675B">
            <w:pPr>
              <w:ind w:firstLine="600"/>
              <w:rPr>
                <w:rFonts w:hint="eastAsia" w:ascii="宋体" w:hAnsi="宋体" w:eastAsia="宋体"/>
                <w:sz w:val="24"/>
                <w:szCs w:val="24"/>
              </w:rPr>
            </w:pPr>
          </w:p>
          <w:p w14:paraId="0C7656FD">
            <w:pPr>
              <w:ind w:firstLine="600"/>
              <w:rPr>
                <w:rFonts w:hint="eastAsia" w:ascii="宋体" w:hAnsi="宋体" w:eastAsia="宋体"/>
                <w:sz w:val="24"/>
                <w:szCs w:val="24"/>
                <w:u w:val="single"/>
              </w:rPr>
            </w:pPr>
            <w:r>
              <w:rPr>
                <w:rFonts w:hint="eastAsia" w:ascii="宋体" w:hAnsi="宋体" w:eastAsia="宋体"/>
                <w:sz w:val="24"/>
                <w:szCs w:val="24"/>
              </w:rPr>
              <w:t>本人签名：</w:t>
            </w:r>
            <w:r>
              <w:rPr>
                <w:rFonts w:hint="eastAsia" w:ascii="宋体" w:hAnsi="宋体" w:eastAsia="宋体"/>
                <w:sz w:val="24"/>
                <w:szCs w:val="24"/>
                <w:u w:val="single"/>
                <w:lang w:eastAsia="zh-CN"/>
              </w:rPr>
              <w:drawing>
                <wp:anchor distT="0" distB="0" distL="114300" distR="114300" simplePos="0" relativeHeight="251666432" behindDoc="0" locked="0" layoutInCell="1" allowOverlap="1">
                  <wp:simplePos x="0" y="0"/>
                  <wp:positionH relativeFrom="column">
                    <wp:posOffset>1098550</wp:posOffset>
                  </wp:positionH>
                  <wp:positionV relativeFrom="paragraph">
                    <wp:posOffset>-220980</wp:posOffset>
                  </wp:positionV>
                  <wp:extent cx="1073785" cy="518795"/>
                  <wp:effectExtent l="0" t="0" r="0" b="15240"/>
                  <wp:wrapNone/>
                  <wp:docPr id="8" name="图片 8" descr="岑惠杰(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岑惠杰(1)(1)"/>
                          <pic:cNvPicPr>
                            <a:picLocks noChangeAspect="1"/>
                          </pic:cNvPicPr>
                        </pic:nvPicPr>
                        <pic:blipFill>
                          <a:blip r:embed="rId8"/>
                          <a:stretch>
                            <a:fillRect/>
                          </a:stretch>
                        </pic:blipFill>
                        <pic:spPr>
                          <a:xfrm>
                            <a:off x="0" y="0"/>
                            <a:ext cx="1073785" cy="518795"/>
                          </a:xfrm>
                          <a:prstGeom prst="rect">
                            <a:avLst/>
                          </a:prstGeom>
                        </pic:spPr>
                      </pic:pic>
                    </a:graphicData>
                  </a:graphic>
                </wp:anchor>
              </w:drawing>
            </w:r>
          </w:p>
          <w:p w14:paraId="33524AB5">
            <w:pPr>
              <w:ind w:left="-2" w:firstLine="5640"/>
              <w:rPr>
                <w:rFonts w:hint="eastAsia" w:ascii="宋体" w:hAnsi="宋体" w:eastAsia="宋体"/>
                <w:sz w:val="24"/>
                <w:szCs w:val="24"/>
              </w:rPr>
            </w:pPr>
            <w:r>
              <w:rPr>
                <w:rFonts w:hint="eastAsia" w:ascii="宋体" w:hAnsi="宋体" w:eastAsia="宋体"/>
                <w:sz w:val="24"/>
                <w:szCs w:val="24"/>
                <w:lang w:val="en-US" w:eastAsia="zh-CN"/>
              </w:rPr>
              <w:t>2025</w:t>
            </w:r>
            <w:r>
              <w:rPr>
                <w:rFonts w:hint="eastAsia" w:ascii="宋体" w:hAnsi="宋体" w:eastAsia="宋体"/>
                <w:sz w:val="24"/>
                <w:szCs w:val="24"/>
              </w:rPr>
              <w:t>年</w:t>
            </w:r>
            <w:r>
              <w:rPr>
                <w:rFonts w:hint="eastAsia" w:ascii="宋体" w:hAnsi="宋体" w:eastAsia="宋体"/>
                <w:sz w:val="24"/>
                <w:szCs w:val="24"/>
                <w:lang w:val="en-US" w:eastAsia="zh-CN"/>
              </w:rPr>
              <w:t xml:space="preserve"> 9</w:t>
            </w:r>
            <w:r>
              <w:rPr>
                <w:rFonts w:hint="eastAsia" w:ascii="宋体" w:hAnsi="宋体" w:eastAsia="宋体"/>
                <w:sz w:val="24"/>
                <w:szCs w:val="24"/>
              </w:rPr>
              <w:t>月</w:t>
            </w:r>
            <w:r>
              <w:rPr>
                <w:rFonts w:hint="eastAsia" w:ascii="宋体" w:hAnsi="宋体" w:eastAsia="宋体"/>
                <w:sz w:val="24"/>
                <w:szCs w:val="24"/>
                <w:lang w:val="en-US" w:eastAsia="zh-CN"/>
              </w:rPr>
              <w:t xml:space="preserve"> 1 </w:t>
            </w:r>
            <w:r>
              <w:rPr>
                <w:rFonts w:hint="eastAsia" w:ascii="宋体" w:hAnsi="宋体" w:eastAsia="宋体"/>
                <w:sz w:val="24"/>
                <w:szCs w:val="24"/>
              </w:rPr>
              <w:t>日</w:t>
            </w:r>
          </w:p>
          <w:p w14:paraId="0F7811C2">
            <w:pPr>
              <w:ind w:left="-2" w:firstLine="5640"/>
              <w:rPr>
                <w:rFonts w:hint="eastAsia" w:ascii="宋体" w:hAnsi="宋体" w:eastAsia="宋体"/>
                <w:sz w:val="24"/>
                <w:szCs w:val="24"/>
              </w:rPr>
            </w:pPr>
          </w:p>
          <w:p w14:paraId="2BFABEF1">
            <w:pPr>
              <w:ind w:left="-2" w:firstLine="5640"/>
              <w:rPr>
                <w:rFonts w:hint="eastAsia" w:ascii="宋体" w:hAnsi="宋体" w:eastAsia="宋体"/>
                <w:sz w:val="24"/>
                <w:szCs w:val="24"/>
              </w:rPr>
            </w:pPr>
          </w:p>
          <w:p w14:paraId="777CF832">
            <w:pPr>
              <w:ind w:left="-2" w:firstLine="5640"/>
              <w:rPr>
                <w:rFonts w:hint="eastAsia" w:ascii="宋体" w:hAnsi="宋体" w:eastAsia="宋体"/>
                <w:sz w:val="24"/>
                <w:szCs w:val="24"/>
              </w:rPr>
            </w:pPr>
          </w:p>
        </w:tc>
      </w:tr>
    </w:tbl>
    <w:p w14:paraId="21550236">
      <w:pPr>
        <w:jc w:val="center"/>
        <w:rPr>
          <w:rFonts w:hint="eastAsia" w:ascii="黑体" w:hAnsi="黑体" w:eastAsia="黑体"/>
          <w:szCs w:val="32"/>
          <w:lang w:val="en-US" w:eastAsia="zh-CN"/>
        </w:rPr>
      </w:pPr>
    </w:p>
    <w:p w14:paraId="7209EC34">
      <w:pPr>
        <w:jc w:val="center"/>
        <w:rPr>
          <w:rFonts w:hint="eastAsia" w:ascii="黑体" w:hAnsi="黑体" w:eastAsia="黑体"/>
          <w:szCs w:val="32"/>
        </w:rPr>
      </w:pPr>
      <w:r>
        <w:rPr>
          <w:rFonts w:hint="eastAsia" w:ascii="黑体" w:hAnsi="黑体" w:eastAsia="黑体"/>
          <w:szCs w:val="32"/>
          <w:lang w:val="en-US" w:eastAsia="zh-CN"/>
        </w:rPr>
        <w:t>主</w:t>
      </w:r>
      <w:r>
        <w:rPr>
          <w:rFonts w:hint="eastAsia" w:ascii="黑体" w:hAnsi="黑体" w:eastAsia="黑体"/>
          <w:szCs w:val="32"/>
        </w:rPr>
        <w:t>要完成人情况</w:t>
      </w:r>
    </w:p>
    <w:tbl>
      <w:tblPr>
        <w:tblStyle w:val="5"/>
        <w:tblW w:w="9083"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45"/>
        <w:gridCol w:w="1570"/>
        <w:gridCol w:w="2639"/>
        <w:gridCol w:w="1464"/>
        <w:gridCol w:w="2565"/>
      </w:tblGrid>
      <w:tr w14:paraId="4C835A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415" w:type="dxa"/>
            <w:gridSpan w:val="2"/>
            <w:noWrap w:val="0"/>
            <w:vAlign w:val="center"/>
          </w:tcPr>
          <w:p w14:paraId="134F1C5B">
            <w:pPr>
              <w:ind w:left="-3"/>
              <w:jc w:val="center"/>
              <w:rPr>
                <w:rFonts w:hint="eastAsia" w:ascii="宋体" w:hAnsi="宋体" w:eastAsia="宋体"/>
                <w:sz w:val="24"/>
                <w:szCs w:val="24"/>
              </w:rPr>
            </w:pPr>
            <w:r>
              <w:rPr>
                <w:rFonts w:hint="eastAsia" w:ascii="宋体" w:hAnsi="宋体" w:eastAsia="宋体"/>
                <w:sz w:val="24"/>
                <w:szCs w:val="24"/>
              </w:rPr>
              <w:t>第（</w:t>
            </w:r>
            <w:r>
              <w:rPr>
                <w:rFonts w:hint="eastAsia" w:ascii="宋体" w:hAnsi="宋体" w:eastAsia="宋体"/>
                <w:sz w:val="24"/>
                <w:szCs w:val="24"/>
                <w:lang w:val="en-US" w:eastAsia="zh-CN"/>
              </w:rPr>
              <w:t>三</w:t>
            </w:r>
            <w:r>
              <w:rPr>
                <w:rFonts w:hint="eastAsia" w:ascii="宋体" w:hAnsi="宋体" w:eastAsia="宋体"/>
                <w:sz w:val="24"/>
                <w:szCs w:val="24"/>
              </w:rPr>
              <w:t>）完成人姓名</w:t>
            </w:r>
          </w:p>
          <w:p w14:paraId="6610A744">
            <w:pPr>
              <w:ind w:left="-3"/>
              <w:jc w:val="center"/>
              <w:rPr>
                <w:rFonts w:hint="eastAsia" w:ascii="宋体" w:hAnsi="宋体" w:eastAsia="宋体"/>
                <w:sz w:val="24"/>
                <w:szCs w:val="24"/>
              </w:rPr>
            </w:pPr>
            <w:r>
              <w:rPr>
                <w:rFonts w:hint="eastAsia" w:ascii="宋体" w:hAnsi="宋体" w:eastAsia="宋体"/>
                <w:sz w:val="24"/>
                <w:szCs w:val="24"/>
              </w:rPr>
              <w:t>（前三完成人填写）</w:t>
            </w:r>
          </w:p>
        </w:tc>
        <w:tc>
          <w:tcPr>
            <w:tcW w:w="2639" w:type="dxa"/>
            <w:noWrap w:val="0"/>
            <w:vAlign w:val="center"/>
          </w:tcPr>
          <w:p w14:paraId="2D7EA193">
            <w:pPr>
              <w:ind w:left="-3"/>
              <w:jc w:val="center"/>
              <w:rPr>
                <w:rFonts w:hint="default" w:ascii="宋体" w:hAnsi="宋体" w:eastAsia="宋体"/>
                <w:sz w:val="24"/>
                <w:szCs w:val="24"/>
                <w:lang w:val="en-US"/>
              </w:rPr>
            </w:pPr>
            <w:r>
              <w:rPr>
                <w:rFonts w:hint="eastAsia" w:ascii="宋体" w:hAnsi="宋体" w:eastAsia="宋体"/>
                <w:sz w:val="24"/>
                <w:szCs w:val="24"/>
                <w:lang w:val="en-US" w:eastAsia="zh-CN"/>
              </w:rPr>
              <w:t>吴珺</w:t>
            </w:r>
          </w:p>
        </w:tc>
        <w:tc>
          <w:tcPr>
            <w:tcW w:w="1464" w:type="dxa"/>
            <w:noWrap w:val="0"/>
            <w:vAlign w:val="center"/>
          </w:tcPr>
          <w:p w14:paraId="26C45ACF">
            <w:pPr>
              <w:jc w:val="center"/>
              <w:rPr>
                <w:rFonts w:hint="eastAsia" w:ascii="宋体" w:hAnsi="宋体" w:eastAsia="宋体"/>
                <w:sz w:val="24"/>
                <w:szCs w:val="24"/>
              </w:rPr>
            </w:pPr>
            <w:r>
              <w:rPr>
                <w:rFonts w:hint="eastAsia" w:ascii="宋体" w:hAnsi="宋体" w:eastAsia="宋体"/>
                <w:sz w:val="24"/>
                <w:szCs w:val="24"/>
              </w:rPr>
              <w:t>出生年月</w:t>
            </w:r>
          </w:p>
        </w:tc>
        <w:tc>
          <w:tcPr>
            <w:tcW w:w="2565" w:type="dxa"/>
            <w:noWrap w:val="0"/>
            <w:vAlign w:val="center"/>
          </w:tcPr>
          <w:p w14:paraId="7F56EEF7">
            <w:pPr>
              <w:ind w:left="-3"/>
              <w:jc w:val="center"/>
              <w:rPr>
                <w:rFonts w:hint="eastAsia" w:ascii="宋体" w:hAnsi="宋体" w:eastAsia="宋体"/>
                <w:sz w:val="24"/>
                <w:szCs w:val="24"/>
                <w:lang w:val="en-US" w:eastAsia="zh-CN"/>
              </w:rPr>
            </w:pPr>
            <w:r>
              <w:rPr>
                <w:rFonts w:hint="eastAsia" w:ascii="宋体" w:hAnsi="宋体" w:eastAsia="宋体"/>
                <w:sz w:val="24"/>
                <w:szCs w:val="24"/>
                <w:lang w:val="en-US" w:eastAsia="zh-CN"/>
              </w:rPr>
              <w:t>1980年6月</w:t>
            </w:r>
          </w:p>
        </w:tc>
      </w:tr>
      <w:tr w14:paraId="66E437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415" w:type="dxa"/>
            <w:gridSpan w:val="2"/>
            <w:noWrap w:val="0"/>
            <w:vAlign w:val="center"/>
          </w:tcPr>
          <w:p w14:paraId="49B29BEF">
            <w:pPr>
              <w:ind w:left="-3"/>
              <w:jc w:val="center"/>
              <w:rPr>
                <w:rFonts w:hint="eastAsia" w:ascii="宋体" w:hAnsi="宋体" w:eastAsia="宋体"/>
                <w:sz w:val="24"/>
                <w:szCs w:val="24"/>
              </w:rPr>
            </w:pPr>
            <w:r>
              <w:rPr>
                <w:rFonts w:hint="eastAsia" w:ascii="宋体" w:hAnsi="宋体" w:eastAsia="宋体"/>
                <w:sz w:val="24"/>
                <w:szCs w:val="24"/>
              </w:rPr>
              <w:t>最后学历</w:t>
            </w:r>
          </w:p>
        </w:tc>
        <w:tc>
          <w:tcPr>
            <w:tcW w:w="2639" w:type="dxa"/>
            <w:noWrap w:val="0"/>
            <w:vAlign w:val="center"/>
          </w:tcPr>
          <w:p w14:paraId="379AA44F">
            <w:pPr>
              <w:ind w:left="-3"/>
              <w:jc w:val="center"/>
              <w:rPr>
                <w:rFonts w:hint="eastAsia" w:ascii="宋体" w:hAnsi="宋体" w:eastAsia="宋体"/>
                <w:sz w:val="24"/>
                <w:szCs w:val="24"/>
              </w:rPr>
            </w:pPr>
            <w:r>
              <w:rPr>
                <w:rFonts w:hint="eastAsia" w:ascii="宋体" w:hAnsi="宋体" w:eastAsia="宋体"/>
                <w:sz w:val="24"/>
                <w:szCs w:val="24"/>
                <w:lang w:val="en-US" w:eastAsia="zh-CN"/>
              </w:rPr>
              <w:t>研究生</w:t>
            </w:r>
          </w:p>
        </w:tc>
        <w:tc>
          <w:tcPr>
            <w:tcW w:w="1464" w:type="dxa"/>
            <w:noWrap w:val="0"/>
            <w:vAlign w:val="center"/>
          </w:tcPr>
          <w:p w14:paraId="077C694D">
            <w:pPr>
              <w:jc w:val="center"/>
              <w:rPr>
                <w:rFonts w:hint="eastAsia" w:ascii="宋体" w:hAnsi="宋体" w:eastAsia="宋体"/>
                <w:sz w:val="24"/>
                <w:szCs w:val="24"/>
              </w:rPr>
            </w:pPr>
            <w:r>
              <w:rPr>
                <w:rFonts w:hint="eastAsia" w:ascii="宋体" w:hAnsi="宋体" w:eastAsia="宋体"/>
                <w:sz w:val="24"/>
                <w:szCs w:val="24"/>
              </w:rPr>
              <w:t>工龄/教龄</w:t>
            </w:r>
          </w:p>
        </w:tc>
        <w:tc>
          <w:tcPr>
            <w:tcW w:w="2565" w:type="dxa"/>
            <w:noWrap w:val="0"/>
            <w:vAlign w:val="center"/>
          </w:tcPr>
          <w:p w14:paraId="1C316F27">
            <w:pPr>
              <w:ind w:left="-3"/>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18年</w:t>
            </w:r>
          </w:p>
        </w:tc>
      </w:tr>
      <w:tr w14:paraId="422D2C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67" w:hRule="atLeast"/>
          <w:jc w:val="center"/>
        </w:trPr>
        <w:tc>
          <w:tcPr>
            <w:tcW w:w="2415" w:type="dxa"/>
            <w:gridSpan w:val="2"/>
            <w:noWrap w:val="0"/>
            <w:vAlign w:val="center"/>
          </w:tcPr>
          <w:p w14:paraId="4870EAFF">
            <w:pPr>
              <w:ind w:left="-3"/>
              <w:jc w:val="center"/>
              <w:rPr>
                <w:rFonts w:hint="eastAsia" w:ascii="宋体" w:hAnsi="宋体" w:eastAsia="宋体"/>
                <w:sz w:val="24"/>
                <w:szCs w:val="24"/>
              </w:rPr>
            </w:pPr>
            <w:r>
              <w:rPr>
                <w:rFonts w:hint="eastAsia" w:ascii="宋体" w:hAnsi="宋体" w:eastAsia="宋体"/>
                <w:sz w:val="24"/>
                <w:szCs w:val="24"/>
              </w:rPr>
              <w:t>工作单位</w:t>
            </w:r>
          </w:p>
        </w:tc>
        <w:tc>
          <w:tcPr>
            <w:tcW w:w="2639" w:type="dxa"/>
            <w:noWrap w:val="0"/>
            <w:vAlign w:val="center"/>
          </w:tcPr>
          <w:p w14:paraId="7F61DDA5">
            <w:pPr>
              <w:ind w:left="-3"/>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广西南宁技师学院</w:t>
            </w:r>
          </w:p>
        </w:tc>
        <w:tc>
          <w:tcPr>
            <w:tcW w:w="1464" w:type="dxa"/>
            <w:noWrap w:val="0"/>
            <w:vAlign w:val="center"/>
          </w:tcPr>
          <w:p w14:paraId="058C369E">
            <w:pPr>
              <w:jc w:val="center"/>
              <w:rPr>
                <w:rFonts w:hint="eastAsia" w:ascii="宋体" w:hAnsi="宋体" w:eastAsia="宋体"/>
                <w:sz w:val="24"/>
                <w:szCs w:val="24"/>
              </w:rPr>
            </w:pPr>
            <w:r>
              <w:rPr>
                <w:rFonts w:hint="eastAsia" w:ascii="宋体" w:hAnsi="宋体" w:eastAsia="宋体"/>
                <w:sz w:val="24"/>
                <w:szCs w:val="24"/>
              </w:rPr>
              <w:t>现任职务/职称</w:t>
            </w:r>
          </w:p>
        </w:tc>
        <w:tc>
          <w:tcPr>
            <w:tcW w:w="2565" w:type="dxa"/>
            <w:noWrap w:val="0"/>
            <w:vAlign w:val="center"/>
          </w:tcPr>
          <w:p w14:paraId="3CFEFE79">
            <w:pPr>
              <w:ind w:left="-3"/>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教师/讲师</w:t>
            </w:r>
          </w:p>
        </w:tc>
      </w:tr>
      <w:tr w14:paraId="202774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29" w:hRule="atLeast"/>
          <w:jc w:val="center"/>
        </w:trPr>
        <w:tc>
          <w:tcPr>
            <w:tcW w:w="2415" w:type="dxa"/>
            <w:gridSpan w:val="2"/>
            <w:noWrap w:val="0"/>
            <w:vAlign w:val="center"/>
          </w:tcPr>
          <w:p w14:paraId="1E54134D">
            <w:pPr>
              <w:ind w:left="-3"/>
              <w:jc w:val="center"/>
              <w:rPr>
                <w:rFonts w:hint="eastAsia" w:ascii="宋体" w:hAnsi="宋体" w:eastAsia="宋体"/>
                <w:sz w:val="24"/>
                <w:szCs w:val="24"/>
              </w:rPr>
            </w:pPr>
            <w:r>
              <w:rPr>
                <w:rFonts w:hint="eastAsia" w:ascii="宋体" w:hAnsi="宋体" w:eastAsia="宋体"/>
                <w:sz w:val="24"/>
                <w:szCs w:val="24"/>
              </w:rPr>
              <w:t>何时何地获何种</w:t>
            </w:r>
          </w:p>
          <w:p w14:paraId="6D758C7B">
            <w:pPr>
              <w:ind w:left="-3"/>
              <w:jc w:val="center"/>
              <w:rPr>
                <w:rFonts w:hint="eastAsia" w:ascii="宋体" w:hAnsi="宋体" w:eastAsia="宋体"/>
                <w:sz w:val="24"/>
                <w:szCs w:val="24"/>
              </w:rPr>
            </w:pPr>
            <w:r>
              <w:rPr>
                <w:rFonts w:hint="eastAsia" w:ascii="宋体" w:hAnsi="宋体" w:eastAsia="宋体"/>
                <w:sz w:val="24"/>
                <w:szCs w:val="24"/>
              </w:rPr>
              <w:t>校级及以上奖励</w:t>
            </w:r>
          </w:p>
        </w:tc>
        <w:tc>
          <w:tcPr>
            <w:tcW w:w="6668" w:type="dxa"/>
            <w:gridSpan w:val="3"/>
            <w:shd w:val="clear" w:color="auto" w:fill="auto"/>
            <w:noWrap w:val="0"/>
            <w:vAlign w:val="center"/>
          </w:tcPr>
          <w:p w14:paraId="13C27456">
            <w:pPr>
              <w:ind w:left="-3"/>
              <w:jc w:val="left"/>
              <w:rPr>
                <w:rFonts w:hint="default" w:ascii="宋体" w:hAnsi="宋体" w:eastAsia="宋体"/>
                <w:sz w:val="24"/>
                <w:szCs w:val="24"/>
                <w:lang w:val="en-US" w:eastAsia="zh-CN"/>
              </w:rPr>
            </w:pPr>
            <w:r>
              <w:rPr>
                <w:rFonts w:hint="eastAsia" w:ascii="宋体" w:hAnsi="宋体" w:eastAsia="宋体"/>
                <w:sz w:val="24"/>
                <w:szCs w:val="24"/>
                <w:lang w:val="en-US" w:eastAsia="zh-CN"/>
              </w:rPr>
              <w:t>1.2024年主持的《医药市场营销》获广西优质课程</w:t>
            </w:r>
          </w:p>
          <w:p w14:paraId="598AB458">
            <w:pPr>
              <w:ind w:left="-3"/>
              <w:jc w:val="left"/>
              <w:rPr>
                <w:rFonts w:hint="default" w:ascii="宋体" w:hAnsi="宋体" w:eastAsia="宋体"/>
                <w:sz w:val="24"/>
                <w:szCs w:val="24"/>
                <w:lang w:val="en-US" w:eastAsia="zh-CN"/>
              </w:rPr>
            </w:pPr>
            <w:r>
              <w:rPr>
                <w:rFonts w:hint="eastAsia" w:ascii="宋体" w:hAnsi="宋体" w:eastAsia="宋体"/>
                <w:sz w:val="24"/>
                <w:szCs w:val="24"/>
                <w:lang w:val="en-US" w:eastAsia="zh-CN"/>
              </w:rPr>
              <w:t>2.被评为广西南宁技师学院2020-2021学年度“优秀教师”</w:t>
            </w:r>
          </w:p>
          <w:p w14:paraId="5C8FA5DA">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3.2024年参加广西职业技能大赛混合式教学比赛获三等奖4.2024年参加南宁市中等职业学校师生技能比赛混合式教学项目荣获三等奖</w:t>
            </w:r>
          </w:p>
          <w:p w14:paraId="0A3C53D5">
            <w:pPr>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5.2022年参加南宁市中等职业学校教师专业技能基本功比赛，荣获创新创业项目一等奖</w:t>
            </w:r>
          </w:p>
        </w:tc>
      </w:tr>
      <w:tr w14:paraId="731488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31" w:hRule="atLeast"/>
          <w:jc w:val="center"/>
        </w:trPr>
        <w:tc>
          <w:tcPr>
            <w:tcW w:w="845" w:type="dxa"/>
            <w:noWrap w:val="0"/>
            <w:vAlign w:val="center"/>
          </w:tcPr>
          <w:p w14:paraId="66820DF8">
            <w:pPr>
              <w:ind w:left="-3"/>
              <w:jc w:val="center"/>
              <w:rPr>
                <w:rFonts w:hint="eastAsia" w:ascii="宋体" w:hAnsi="宋体" w:eastAsia="宋体"/>
                <w:sz w:val="24"/>
                <w:szCs w:val="24"/>
              </w:rPr>
            </w:pPr>
          </w:p>
          <w:p w14:paraId="79C5DE18">
            <w:pPr>
              <w:ind w:left="-3"/>
              <w:jc w:val="center"/>
              <w:rPr>
                <w:rFonts w:hint="eastAsia" w:ascii="宋体" w:hAnsi="宋体" w:eastAsia="宋体"/>
                <w:sz w:val="24"/>
                <w:szCs w:val="24"/>
              </w:rPr>
            </w:pPr>
            <w:r>
              <w:rPr>
                <w:rFonts w:hint="eastAsia" w:ascii="宋体" w:hAnsi="宋体" w:eastAsia="宋体"/>
                <w:sz w:val="24"/>
                <w:szCs w:val="24"/>
              </w:rPr>
              <w:t>主</w:t>
            </w:r>
          </w:p>
          <w:p w14:paraId="0A158F77">
            <w:pPr>
              <w:rPr>
                <w:rFonts w:hint="eastAsia" w:ascii="宋体" w:hAnsi="宋体" w:eastAsia="宋体"/>
                <w:sz w:val="24"/>
                <w:szCs w:val="24"/>
              </w:rPr>
            </w:pPr>
          </w:p>
          <w:p w14:paraId="7DC4E377">
            <w:pPr>
              <w:ind w:left="-3"/>
              <w:jc w:val="center"/>
              <w:rPr>
                <w:rFonts w:hint="eastAsia" w:ascii="宋体" w:hAnsi="宋体" w:eastAsia="宋体"/>
                <w:sz w:val="24"/>
                <w:szCs w:val="24"/>
              </w:rPr>
            </w:pPr>
            <w:r>
              <w:rPr>
                <w:rFonts w:hint="eastAsia" w:ascii="宋体" w:hAnsi="宋体" w:eastAsia="宋体"/>
                <w:sz w:val="24"/>
                <w:szCs w:val="24"/>
              </w:rPr>
              <w:t>要</w:t>
            </w:r>
          </w:p>
          <w:p w14:paraId="190EAB3E">
            <w:pPr>
              <w:rPr>
                <w:rFonts w:hint="eastAsia" w:ascii="宋体" w:hAnsi="宋体" w:eastAsia="宋体"/>
                <w:sz w:val="24"/>
                <w:szCs w:val="24"/>
              </w:rPr>
            </w:pPr>
          </w:p>
          <w:p w14:paraId="084F4DEA">
            <w:pPr>
              <w:ind w:left="-3"/>
              <w:jc w:val="center"/>
              <w:rPr>
                <w:rFonts w:hint="eastAsia" w:ascii="宋体" w:hAnsi="宋体" w:eastAsia="宋体"/>
                <w:sz w:val="24"/>
                <w:szCs w:val="24"/>
              </w:rPr>
            </w:pPr>
            <w:r>
              <w:rPr>
                <w:rFonts w:hint="eastAsia" w:ascii="宋体" w:hAnsi="宋体" w:eastAsia="宋体"/>
                <w:sz w:val="24"/>
                <w:szCs w:val="24"/>
              </w:rPr>
              <w:t>贡</w:t>
            </w:r>
          </w:p>
          <w:p w14:paraId="65B7E68D">
            <w:pPr>
              <w:ind w:left="-3"/>
              <w:jc w:val="center"/>
              <w:rPr>
                <w:rFonts w:hint="eastAsia" w:ascii="宋体" w:hAnsi="宋体" w:eastAsia="宋体"/>
                <w:sz w:val="24"/>
                <w:szCs w:val="24"/>
              </w:rPr>
            </w:pPr>
          </w:p>
          <w:p w14:paraId="65409FBA">
            <w:pPr>
              <w:ind w:left="-3"/>
              <w:jc w:val="center"/>
              <w:rPr>
                <w:rFonts w:hint="eastAsia" w:ascii="宋体" w:hAnsi="宋体" w:eastAsia="宋体"/>
                <w:sz w:val="24"/>
                <w:szCs w:val="24"/>
              </w:rPr>
            </w:pPr>
            <w:r>
              <w:rPr>
                <w:rFonts w:hint="eastAsia" w:ascii="宋体" w:hAnsi="宋体" w:eastAsia="宋体"/>
                <w:sz w:val="24"/>
                <w:szCs w:val="24"/>
              </w:rPr>
              <w:t>献</w:t>
            </w:r>
          </w:p>
          <w:p w14:paraId="5D6E7C75">
            <w:pPr>
              <w:ind w:left="-3"/>
              <w:jc w:val="center"/>
              <w:rPr>
                <w:rFonts w:hint="eastAsia" w:ascii="宋体" w:hAnsi="宋体" w:eastAsia="宋体"/>
                <w:sz w:val="24"/>
                <w:szCs w:val="24"/>
              </w:rPr>
            </w:pPr>
          </w:p>
        </w:tc>
        <w:tc>
          <w:tcPr>
            <w:tcW w:w="8238" w:type="dxa"/>
            <w:gridSpan w:val="4"/>
            <w:noWrap w:val="0"/>
            <w:vAlign w:val="bottom"/>
          </w:tcPr>
          <w:p w14:paraId="57319F55">
            <w:pPr>
              <w:ind w:firstLine="600"/>
              <w:rPr>
                <w:rFonts w:hint="eastAsia" w:ascii="宋体" w:hAnsi="宋体" w:eastAsia="宋体"/>
                <w:sz w:val="24"/>
                <w:szCs w:val="24"/>
                <w:lang w:eastAsia="zh-CN"/>
              </w:rPr>
            </w:pPr>
          </w:p>
          <w:p w14:paraId="69DFD7F6">
            <w:pPr>
              <w:spacing w:line="360" w:lineRule="auto"/>
              <w:jc w:val="left"/>
              <w:rPr>
                <w:rFonts w:hint="default" w:ascii="宋体" w:hAnsi="宋体" w:eastAsia="宋体"/>
                <w:sz w:val="24"/>
                <w:szCs w:val="24"/>
                <w:lang w:val="en-US" w:eastAsia="zh-CN"/>
              </w:rPr>
            </w:pPr>
            <w:r>
              <w:rPr>
                <w:rFonts w:hint="eastAsia" w:ascii="宋体" w:hAnsi="宋体" w:eastAsia="宋体"/>
                <w:sz w:val="24"/>
                <w:szCs w:val="24"/>
                <w:lang w:val="en-US" w:eastAsia="zh-CN"/>
              </w:rPr>
              <w:t>作为本成果的第三完成人，主要完成以下工作：</w:t>
            </w:r>
          </w:p>
          <w:p w14:paraId="291AE749">
            <w:pPr>
              <w:spacing w:line="360" w:lineRule="auto"/>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1.推进落实本项目的建设实施，统筹协调保障本成果的实践与推广，对本成</w:t>
            </w:r>
          </w:p>
          <w:p w14:paraId="32F70D09">
            <w:pPr>
              <w:spacing w:line="360" w:lineRule="auto"/>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果研究和实施作出重要贡献。</w:t>
            </w:r>
          </w:p>
          <w:p w14:paraId="7068D2D1">
            <w:pPr>
              <w:spacing w:line="360" w:lineRule="auto"/>
              <w:ind w:left="-3"/>
              <w:jc w:val="left"/>
              <w:rPr>
                <w:rFonts w:hint="eastAsia" w:ascii="宋体" w:hAnsi="宋体" w:eastAsia="宋体"/>
                <w:sz w:val="24"/>
                <w:szCs w:val="24"/>
                <w:lang w:val="en-US" w:eastAsia="zh-CN"/>
              </w:rPr>
            </w:pPr>
            <w:r>
              <w:rPr>
                <w:rFonts w:hint="eastAsia" w:ascii="宋体" w:hAnsi="宋体" w:eastAsia="宋体"/>
                <w:sz w:val="24"/>
                <w:szCs w:val="24"/>
                <w:lang w:val="en-US" w:eastAsia="zh-CN"/>
              </w:rPr>
              <w:t>2.</w:t>
            </w:r>
            <w:r>
              <w:rPr>
                <w:rFonts w:hint="eastAsia" w:ascii="宋体" w:hAnsi="宋体" w:eastAsia="宋体"/>
                <w:b/>
                <w:bCs/>
                <w:sz w:val="24"/>
                <w:szCs w:val="24"/>
                <w:lang w:val="en-US" w:eastAsia="zh-CN"/>
              </w:rPr>
              <w:t>参与组织者：</w:t>
            </w:r>
            <w:r>
              <w:rPr>
                <w:rFonts w:hint="eastAsia" w:ascii="宋体" w:hAnsi="宋体" w:eastAsia="宋体"/>
                <w:sz w:val="24"/>
                <w:szCs w:val="24"/>
                <w:lang w:val="en-US" w:eastAsia="zh-CN"/>
              </w:rPr>
              <w:t>参与总结提炼本成果的创新点及推广成效，为学院以康养专业群为核心的医药康养系的专业建设，搭建产教融合校企合作的发展平台，协助参与构建</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“三境工学交替·四岗育训协同”</w:t>
            </w:r>
            <w:r>
              <w:rPr>
                <w:rFonts w:hint="eastAsia" w:asciiTheme="minorEastAsia" w:hAnsiTheme="minorEastAsia" w:eastAsiaTheme="minorEastAsia" w:cstheme="minorEastAsia"/>
                <w:i w:val="0"/>
                <w:iCs w:val="0"/>
                <w:caps w:val="0"/>
                <w:color w:val="404040"/>
                <w:spacing w:val="0"/>
                <w:sz w:val="24"/>
                <w:szCs w:val="24"/>
                <w:shd w:val="clear" w:fill="FFFFFF"/>
              </w:rPr>
              <w:t>人才培养体系</w:t>
            </w:r>
            <w:r>
              <w:rPr>
                <w:rFonts w:hint="eastAsia" w:ascii="宋体" w:hAnsi="宋体" w:eastAsia="宋体"/>
                <w:sz w:val="24"/>
                <w:szCs w:val="24"/>
                <w:lang w:val="en-US" w:eastAsia="zh-CN"/>
              </w:rPr>
              <w:t>，大健康产业群职业教育的高质量发展提供了可复制的“广西方案”起到重要作用。</w:t>
            </w:r>
          </w:p>
          <w:p w14:paraId="5BEC966A">
            <w:pPr>
              <w:spacing w:line="360" w:lineRule="auto"/>
              <w:ind w:left="-3"/>
              <w:jc w:val="left"/>
              <w:rPr>
                <w:rFonts w:hint="default" w:ascii="宋体" w:hAnsi="宋体" w:eastAsiaTheme="minorEastAsia"/>
                <w:sz w:val="24"/>
                <w:szCs w:val="24"/>
                <w:lang w:val="en-US" w:eastAsia="zh-CN"/>
              </w:rPr>
            </w:pPr>
            <w:r>
              <w:rPr>
                <w:rFonts w:hint="eastAsia" w:ascii="宋体" w:hAnsi="宋体" w:eastAsia="宋体"/>
                <w:b/>
                <w:bCs/>
                <w:sz w:val="24"/>
                <w:szCs w:val="24"/>
                <w:lang w:val="en-US" w:eastAsia="zh-CN"/>
              </w:rPr>
              <w:t>3.协助实践者：</w:t>
            </w:r>
            <w:r>
              <w:rPr>
                <w:rFonts w:hint="eastAsia" w:ascii="宋体" w:hAnsi="宋体" w:eastAsia="宋体"/>
                <w:sz w:val="24"/>
                <w:szCs w:val="24"/>
                <w:lang w:val="en-US" w:eastAsia="zh-CN"/>
              </w:rPr>
              <w:t>协助开展企业合作，将企业合作落到实处。</w:t>
            </w:r>
          </w:p>
          <w:p w14:paraId="0BBEC082">
            <w:pPr>
              <w:spacing w:line="360" w:lineRule="auto"/>
              <w:ind w:left="-3"/>
              <w:jc w:val="left"/>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pP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val="en-US" w:eastAsia="zh-CN"/>
              </w:rPr>
              <w:t>4.</w:t>
            </w:r>
            <w:r>
              <w:rPr>
                <w:rStyle w:val="7"/>
                <w:rFonts w:hint="eastAsia" w:asciiTheme="minorEastAsia" w:hAnsiTheme="minorEastAsia" w:eastAsiaTheme="minorEastAsia" w:cstheme="minorEastAsia"/>
                <w:b/>
                <w:bCs/>
                <w:i w:val="0"/>
                <w:iCs w:val="0"/>
                <w:caps w:val="0"/>
                <w:color w:val="404040"/>
                <w:spacing w:val="0"/>
                <w:sz w:val="24"/>
                <w:szCs w:val="24"/>
                <w:shd w:val="clear" w:fill="FFFFFF"/>
                <w:lang w:val="en-US" w:eastAsia="zh-CN"/>
              </w:rPr>
              <w:t>材料筹备者</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t>：</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val="en-US" w:eastAsia="zh-CN"/>
              </w:rPr>
              <w:t>协助</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t>成果的总结与凝练工作，</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val="en-US" w:eastAsia="zh-CN"/>
              </w:rPr>
              <w:t>协助</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t>撰写申报书，</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val="en-US" w:eastAsia="zh-CN"/>
              </w:rPr>
              <w:t>提供</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t>概括了成果的核心内容、创新点与推广价值</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val="en-US" w:eastAsia="zh-CN"/>
              </w:rPr>
              <w:t>的具体材料</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t>。</w:t>
            </w:r>
          </w:p>
          <w:p w14:paraId="600C2870">
            <w:pPr>
              <w:spacing w:line="360" w:lineRule="auto"/>
              <w:ind w:left="-3"/>
              <w:jc w:val="left"/>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pP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val="en-US" w:eastAsia="zh-CN"/>
              </w:rPr>
              <w:t>5.</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推广应用者</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t>：通过</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val="en-US" w:eastAsia="zh-CN"/>
              </w:rPr>
              <w:t>市级公开课、校级公开课</w:t>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rPr>
              <w:t>等形式，向区内兄弟院校推广本成果，扩大了成果的辐射影响力</w:t>
            </w:r>
            <w:r>
              <w:rPr>
                <w:rFonts w:ascii="宋体" w:hAnsi="宋体" w:eastAsia="宋体" w:cs="宋体"/>
                <w:sz w:val="24"/>
                <w:szCs w:val="24"/>
              </w:rPr>
              <w:drawing>
                <wp:anchor distT="0" distB="0" distL="114300" distR="114300" simplePos="0" relativeHeight="251669504" behindDoc="1" locked="0" layoutInCell="1" allowOverlap="1">
                  <wp:simplePos x="0" y="0"/>
                  <wp:positionH relativeFrom="column">
                    <wp:posOffset>5593080</wp:posOffset>
                  </wp:positionH>
                  <wp:positionV relativeFrom="paragraph">
                    <wp:posOffset>8688070</wp:posOffset>
                  </wp:positionV>
                  <wp:extent cx="569595" cy="437515"/>
                  <wp:effectExtent l="0" t="0" r="1905" b="635"/>
                  <wp:wrapNone/>
                  <wp:docPr id="1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56"/>
                          <pic:cNvPicPr>
                            <a:picLocks noChangeAspect="1"/>
                          </pic:cNvPicPr>
                        </pic:nvPicPr>
                        <pic:blipFill>
                          <a:blip r:embed="rId9"/>
                          <a:stretch>
                            <a:fillRect/>
                          </a:stretch>
                        </pic:blipFill>
                        <pic:spPr>
                          <a:xfrm>
                            <a:off x="0" y="0"/>
                            <a:ext cx="569595" cy="437515"/>
                          </a:xfrm>
                          <a:prstGeom prst="rect">
                            <a:avLst/>
                          </a:prstGeom>
                          <a:noFill/>
                          <a:ln>
                            <a:noFill/>
                          </a:ln>
                        </pic:spPr>
                      </pic:pic>
                    </a:graphicData>
                  </a:graphic>
                </wp:anchor>
              </w:drawing>
            </w:r>
            <w:r>
              <w:rPr>
                <w:rStyle w:val="7"/>
                <w:rFonts w:hint="eastAsia" w:asciiTheme="minorEastAsia" w:hAnsiTheme="minorEastAsia" w:eastAsiaTheme="minorEastAsia" w:cstheme="minorEastAsia"/>
                <w:b w:val="0"/>
                <w:bCs w:val="0"/>
                <w:i w:val="0"/>
                <w:iCs w:val="0"/>
                <w:caps w:val="0"/>
                <w:color w:val="404040"/>
                <w:spacing w:val="0"/>
                <w:sz w:val="24"/>
                <w:szCs w:val="24"/>
                <w:shd w:val="clear" w:fill="FFFFFF"/>
                <w:lang w:eastAsia="zh-CN"/>
              </w:rPr>
              <w:t>。</w:t>
            </w:r>
          </w:p>
          <w:p w14:paraId="172DC8A8">
            <w:pPr>
              <w:spacing w:line="360" w:lineRule="auto"/>
              <w:ind w:left="-3"/>
              <w:jc w:val="left"/>
              <w:rPr>
                <w:rStyle w:val="7"/>
                <w:rFonts w:hint="eastAsia" w:asciiTheme="minorEastAsia" w:hAnsiTheme="minorEastAsia" w:eastAsiaTheme="minorEastAsia" w:cstheme="minorEastAsia"/>
                <w:b/>
                <w:bCs/>
                <w:i w:val="0"/>
                <w:iCs w:val="0"/>
                <w:caps w:val="0"/>
                <w:color w:val="404040"/>
                <w:spacing w:val="0"/>
                <w:sz w:val="24"/>
                <w:szCs w:val="24"/>
                <w:shd w:val="clear" w:fill="FFFFFF"/>
              </w:rPr>
            </w:pPr>
            <w:r>
              <w:drawing>
                <wp:anchor distT="0" distB="0" distL="114300" distR="114300" simplePos="0" relativeHeight="251667456" behindDoc="1" locked="0" layoutInCell="1" allowOverlap="1">
                  <wp:simplePos x="0" y="0"/>
                  <wp:positionH relativeFrom="column">
                    <wp:posOffset>1174750</wp:posOffset>
                  </wp:positionH>
                  <wp:positionV relativeFrom="paragraph">
                    <wp:posOffset>162560</wp:posOffset>
                  </wp:positionV>
                  <wp:extent cx="571500" cy="438150"/>
                  <wp:effectExtent l="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71500" cy="438150"/>
                          </a:xfrm>
                          <a:prstGeom prst="rect">
                            <a:avLst/>
                          </a:prstGeom>
                          <a:noFill/>
                          <a:ln>
                            <a:noFill/>
                          </a:ln>
                        </pic:spPr>
                      </pic:pic>
                    </a:graphicData>
                  </a:graphic>
                </wp:anchor>
              </w:drawing>
            </w:r>
          </w:p>
          <w:p w14:paraId="710274DB">
            <w:pPr>
              <w:ind w:firstLine="600"/>
              <w:rPr>
                <w:rFonts w:hint="eastAsia" w:ascii="宋体" w:hAnsi="宋体" w:eastAsia="宋体"/>
                <w:sz w:val="24"/>
                <w:szCs w:val="24"/>
                <w:u w:val="single"/>
                <w:lang w:eastAsia="zh-CN"/>
              </w:rPr>
            </w:pPr>
            <w:r>
              <w:rPr>
                <w:rFonts w:hint="eastAsia" w:ascii="宋体" w:hAnsi="宋体" w:eastAsia="宋体"/>
                <w:sz w:val="24"/>
                <w:szCs w:val="24"/>
              </w:rPr>
              <w:t>本人签名：</w:t>
            </w:r>
          </w:p>
          <w:p w14:paraId="023EE9D4">
            <w:pPr>
              <w:ind w:left="-2" w:firstLine="5640"/>
              <w:rPr>
                <w:rFonts w:hint="eastAsia" w:ascii="宋体" w:hAnsi="宋体" w:eastAsia="宋体"/>
                <w:sz w:val="24"/>
                <w:szCs w:val="24"/>
              </w:rPr>
            </w:pPr>
            <w:r>
              <w:rPr>
                <w:rFonts w:hint="eastAsia" w:ascii="宋体" w:hAnsi="宋体" w:eastAsia="宋体"/>
                <w:sz w:val="24"/>
                <w:szCs w:val="24"/>
                <w:lang w:val="en-US" w:eastAsia="zh-CN"/>
              </w:rPr>
              <w:t>2025</w:t>
            </w:r>
            <w:r>
              <w:rPr>
                <w:rFonts w:hint="eastAsia" w:ascii="宋体" w:hAnsi="宋体" w:eastAsia="宋体"/>
                <w:sz w:val="24"/>
                <w:szCs w:val="24"/>
              </w:rPr>
              <w:t>年</w:t>
            </w:r>
            <w:r>
              <w:rPr>
                <w:rFonts w:hint="eastAsia" w:ascii="宋体" w:hAnsi="宋体" w:eastAsia="宋体"/>
                <w:sz w:val="24"/>
                <w:szCs w:val="24"/>
                <w:lang w:val="en-US" w:eastAsia="zh-CN"/>
              </w:rPr>
              <w:t xml:space="preserve"> 9</w:t>
            </w:r>
            <w:r>
              <w:rPr>
                <w:rFonts w:hint="eastAsia" w:ascii="宋体" w:hAnsi="宋体" w:eastAsia="宋体"/>
                <w:sz w:val="24"/>
                <w:szCs w:val="24"/>
              </w:rPr>
              <w:t>月</w:t>
            </w:r>
            <w:r>
              <w:rPr>
                <w:rFonts w:hint="eastAsia" w:ascii="宋体" w:hAnsi="宋体" w:eastAsia="宋体"/>
                <w:sz w:val="24"/>
                <w:szCs w:val="24"/>
                <w:lang w:val="en-US" w:eastAsia="zh-CN"/>
              </w:rPr>
              <w:t xml:space="preserve"> 1 </w:t>
            </w:r>
            <w:r>
              <w:rPr>
                <w:rFonts w:hint="eastAsia" w:ascii="宋体" w:hAnsi="宋体" w:eastAsia="宋体"/>
                <w:sz w:val="24"/>
                <w:szCs w:val="24"/>
              </w:rPr>
              <w:t>日</w:t>
            </w:r>
          </w:p>
          <w:p w14:paraId="189947DC">
            <w:pPr>
              <w:ind w:left="-2" w:firstLine="5640"/>
              <w:rPr>
                <w:rFonts w:hint="eastAsia" w:ascii="宋体" w:hAnsi="宋体" w:eastAsia="宋体"/>
                <w:sz w:val="24"/>
                <w:szCs w:val="24"/>
              </w:rPr>
            </w:pPr>
          </w:p>
        </w:tc>
      </w:tr>
    </w:tbl>
    <w:p w14:paraId="6EB374C9">
      <w:pPr>
        <w:jc w:val="center"/>
        <w:rPr>
          <w:rFonts w:hint="eastAsia" w:ascii="黑体" w:hAnsi="黑体" w:eastAsia="黑体"/>
          <w:szCs w:val="32"/>
        </w:rPr>
      </w:pPr>
    </w:p>
    <w:p w14:paraId="03D4EBCA">
      <w:pPr>
        <w:jc w:val="center"/>
        <w:rPr>
          <w:rFonts w:hint="eastAsia" w:ascii="黑体" w:hAnsi="黑体" w:eastAsia="黑体"/>
          <w:szCs w:val="32"/>
        </w:rPr>
      </w:pPr>
    </w:p>
    <w:p w14:paraId="7FDEDF70">
      <w:pPr>
        <w:jc w:val="center"/>
        <w:rPr>
          <w:rFonts w:hint="eastAsia" w:ascii="黑体" w:hAnsi="黑体" w:eastAsia="黑体"/>
          <w:szCs w:val="32"/>
        </w:rPr>
      </w:pPr>
    </w:p>
    <w:p w14:paraId="26F10D59">
      <w:pPr>
        <w:jc w:val="center"/>
        <w:rPr>
          <w:rFonts w:hint="eastAsia" w:ascii="黑体" w:hAnsi="黑体" w:eastAsia="黑体"/>
          <w:szCs w:val="32"/>
        </w:rPr>
      </w:pPr>
      <w:r>
        <w:rPr>
          <w:rFonts w:hint="eastAsia" w:ascii="黑体" w:hAnsi="黑体" w:eastAsia="黑体"/>
          <w:szCs w:val="32"/>
        </w:rPr>
        <w:t>三、主要完成单位情况</w:t>
      </w:r>
    </w:p>
    <w:tbl>
      <w:tblPr>
        <w:tblStyle w:val="5"/>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808"/>
        <w:gridCol w:w="1688"/>
        <w:gridCol w:w="2068"/>
        <w:gridCol w:w="1627"/>
        <w:gridCol w:w="2326"/>
      </w:tblGrid>
      <w:tr w14:paraId="4AE3D0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134" w:hRule="atLeast"/>
          <w:jc w:val="center"/>
        </w:trPr>
        <w:tc>
          <w:tcPr>
            <w:tcW w:w="1465" w:type="pct"/>
            <w:gridSpan w:val="2"/>
            <w:noWrap w:val="0"/>
            <w:vAlign w:val="center"/>
          </w:tcPr>
          <w:p w14:paraId="2116F324">
            <w:pPr>
              <w:jc w:val="center"/>
              <w:rPr>
                <w:rFonts w:hint="eastAsia" w:ascii="宋体" w:hAnsi="宋体" w:eastAsia="宋体"/>
                <w:sz w:val="24"/>
                <w:szCs w:val="24"/>
              </w:rPr>
            </w:pPr>
            <w:r>
              <w:rPr>
                <w:rFonts w:hint="eastAsia" w:ascii="宋体" w:hAnsi="宋体" w:eastAsia="宋体"/>
                <w:sz w:val="24"/>
                <w:szCs w:val="24"/>
              </w:rPr>
              <w:t>第（</w:t>
            </w:r>
            <w:r>
              <w:rPr>
                <w:rFonts w:hint="eastAsia" w:ascii="宋体" w:hAnsi="宋体" w:eastAsia="宋体"/>
                <w:sz w:val="24"/>
                <w:szCs w:val="24"/>
                <w:lang w:val="en-US" w:eastAsia="zh-CN"/>
              </w:rPr>
              <w:t>一</w:t>
            </w:r>
            <w:r>
              <w:rPr>
                <w:rFonts w:hint="eastAsia" w:ascii="宋体" w:hAnsi="宋体" w:eastAsia="宋体"/>
                <w:sz w:val="24"/>
                <w:szCs w:val="24"/>
              </w:rPr>
              <w:t>）完成单位名称</w:t>
            </w:r>
          </w:p>
          <w:p w14:paraId="7537FC48">
            <w:pPr>
              <w:jc w:val="center"/>
              <w:rPr>
                <w:rFonts w:hint="eastAsia" w:ascii="宋体" w:hAnsi="宋体" w:eastAsia="宋体"/>
                <w:sz w:val="24"/>
                <w:szCs w:val="24"/>
              </w:rPr>
            </w:pPr>
            <w:r>
              <w:rPr>
                <w:rFonts w:hint="eastAsia" w:ascii="宋体" w:hAnsi="宋体" w:eastAsia="宋体"/>
                <w:sz w:val="24"/>
                <w:szCs w:val="24"/>
              </w:rPr>
              <w:t>（前三完成单位填写）</w:t>
            </w:r>
          </w:p>
        </w:tc>
        <w:tc>
          <w:tcPr>
            <w:tcW w:w="1214" w:type="pct"/>
            <w:noWrap w:val="0"/>
            <w:vAlign w:val="center"/>
          </w:tcPr>
          <w:p w14:paraId="3F506E63">
            <w:pPr>
              <w:jc w:val="center"/>
              <w:rPr>
                <w:rFonts w:hint="default" w:ascii="宋体" w:hAnsi="宋体" w:eastAsia="宋体"/>
                <w:sz w:val="24"/>
                <w:szCs w:val="24"/>
                <w:lang w:val="en-US" w:eastAsia="zh-CN"/>
              </w:rPr>
            </w:pPr>
            <w:r>
              <w:rPr>
                <w:rFonts w:hint="eastAsia" w:ascii="宋体" w:hAnsi="宋体" w:eastAsia="宋体"/>
                <w:sz w:val="24"/>
                <w:szCs w:val="24"/>
                <w:lang w:val="en-US" w:eastAsia="zh-CN"/>
              </w:rPr>
              <w:t>广西南宁技师学院</w:t>
            </w:r>
          </w:p>
        </w:tc>
        <w:tc>
          <w:tcPr>
            <w:tcW w:w="955" w:type="pct"/>
            <w:noWrap w:val="0"/>
            <w:vAlign w:val="center"/>
          </w:tcPr>
          <w:p w14:paraId="22BFCE94">
            <w:pPr>
              <w:jc w:val="center"/>
              <w:rPr>
                <w:rFonts w:hint="eastAsia" w:ascii="宋体" w:hAnsi="宋体" w:eastAsia="宋体"/>
                <w:sz w:val="24"/>
                <w:szCs w:val="24"/>
              </w:rPr>
            </w:pPr>
            <w:r>
              <w:rPr>
                <w:rFonts w:hint="eastAsia" w:ascii="宋体" w:hAnsi="宋体" w:eastAsia="宋体"/>
                <w:sz w:val="24"/>
                <w:szCs w:val="24"/>
              </w:rPr>
              <w:t>主管部门</w:t>
            </w:r>
          </w:p>
        </w:tc>
        <w:tc>
          <w:tcPr>
            <w:tcW w:w="1365" w:type="pct"/>
            <w:noWrap w:val="0"/>
            <w:vAlign w:val="center"/>
          </w:tcPr>
          <w:p w14:paraId="0EB79894">
            <w:pPr>
              <w:ind w:left="189"/>
              <w:jc w:val="center"/>
              <w:rPr>
                <w:rFonts w:hint="eastAsia" w:ascii="宋体" w:hAnsi="宋体" w:eastAsia="宋体"/>
                <w:sz w:val="24"/>
                <w:szCs w:val="24"/>
              </w:rPr>
            </w:pPr>
            <w:r>
              <w:rPr>
                <w:rFonts w:hint="eastAsia" w:ascii="宋体" w:hAnsi="宋体"/>
                <w:sz w:val="24"/>
                <w:szCs w:val="24"/>
                <w:lang w:val="en-US" w:eastAsia="zh-CN"/>
              </w:rPr>
              <w:t>南宁市人力资源和社会保障局</w:t>
            </w:r>
          </w:p>
        </w:tc>
      </w:tr>
      <w:tr w14:paraId="4C3F99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638" w:hRule="atLeast"/>
          <w:jc w:val="center"/>
        </w:trPr>
        <w:tc>
          <w:tcPr>
            <w:tcW w:w="474" w:type="pct"/>
            <w:noWrap w:val="0"/>
            <w:vAlign w:val="center"/>
          </w:tcPr>
          <w:p w14:paraId="7244AF6C">
            <w:pPr>
              <w:jc w:val="center"/>
              <w:rPr>
                <w:rFonts w:hint="eastAsia" w:ascii="宋体" w:hAnsi="宋体" w:eastAsia="宋体"/>
                <w:sz w:val="24"/>
                <w:szCs w:val="24"/>
              </w:rPr>
            </w:pPr>
          </w:p>
          <w:p w14:paraId="20E3D838">
            <w:pPr>
              <w:jc w:val="center"/>
              <w:rPr>
                <w:rFonts w:hint="eastAsia" w:ascii="宋体" w:hAnsi="宋体" w:eastAsia="宋体"/>
                <w:sz w:val="24"/>
                <w:szCs w:val="24"/>
              </w:rPr>
            </w:pPr>
            <w:r>
              <w:rPr>
                <w:rFonts w:hint="eastAsia" w:ascii="宋体" w:hAnsi="宋体" w:eastAsia="宋体"/>
                <w:sz w:val="24"/>
                <w:szCs w:val="24"/>
              </w:rPr>
              <w:t>主</w:t>
            </w:r>
          </w:p>
          <w:p w14:paraId="5D65639B">
            <w:pPr>
              <w:ind w:left="177"/>
              <w:jc w:val="center"/>
              <w:rPr>
                <w:rFonts w:hint="eastAsia" w:ascii="宋体" w:hAnsi="宋体" w:eastAsia="宋体"/>
                <w:sz w:val="24"/>
                <w:szCs w:val="24"/>
              </w:rPr>
            </w:pPr>
          </w:p>
          <w:p w14:paraId="2B59CC73">
            <w:pPr>
              <w:ind w:left="177"/>
              <w:jc w:val="center"/>
              <w:rPr>
                <w:rFonts w:hint="eastAsia" w:ascii="宋体" w:hAnsi="宋体" w:eastAsia="宋体"/>
                <w:sz w:val="24"/>
                <w:szCs w:val="24"/>
              </w:rPr>
            </w:pPr>
          </w:p>
          <w:p w14:paraId="0D6FD1CD">
            <w:pPr>
              <w:ind w:left="177"/>
              <w:jc w:val="center"/>
              <w:rPr>
                <w:rFonts w:hint="eastAsia" w:ascii="宋体" w:hAnsi="宋体" w:eastAsia="宋体"/>
                <w:sz w:val="24"/>
                <w:szCs w:val="24"/>
              </w:rPr>
            </w:pPr>
          </w:p>
          <w:p w14:paraId="75FFB8D6">
            <w:pPr>
              <w:jc w:val="center"/>
              <w:rPr>
                <w:rFonts w:hint="eastAsia" w:ascii="宋体" w:hAnsi="宋体" w:eastAsia="宋体"/>
                <w:sz w:val="24"/>
                <w:szCs w:val="24"/>
              </w:rPr>
            </w:pPr>
            <w:r>
              <w:rPr>
                <w:rFonts w:hint="eastAsia" w:ascii="宋体" w:hAnsi="宋体" w:eastAsia="宋体"/>
                <w:sz w:val="24"/>
                <w:szCs w:val="24"/>
              </w:rPr>
              <w:t>要</w:t>
            </w:r>
          </w:p>
          <w:p w14:paraId="3E9B29BC">
            <w:pPr>
              <w:ind w:left="177"/>
              <w:jc w:val="center"/>
              <w:rPr>
                <w:rFonts w:hint="eastAsia" w:ascii="宋体" w:hAnsi="宋体" w:eastAsia="宋体"/>
                <w:sz w:val="24"/>
                <w:szCs w:val="24"/>
              </w:rPr>
            </w:pPr>
          </w:p>
          <w:p w14:paraId="7069DFED">
            <w:pPr>
              <w:ind w:left="177"/>
              <w:jc w:val="center"/>
              <w:rPr>
                <w:rFonts w:hint="eastAsia" w:ascii="宋体" w:hAnsi="宋体" w:eastAsia="宋体"/>
                <w:sz w:val="24"/>
                <w:szCs w:val="24"/>
              </w:rPr>
            </w:pPr>
          </w:p>
          <w:p w14:paraId="73ED8708">
            <w:pPr>
              <w:ind w:left="177"/>
              <w:jc w:val="center"/>
              <w:rPr>
                <w:rFonts w:hint="eastAsia" w:ascii="宋体" w:hAnsi="宋体" w:eastAsia="宋体"/>
                <w:sz w:val="24"/>
                <w:szCs w:val="24"/>
              </w:rPr>
            </w:pPr>
          </w:p>
          <w:p w14:paraId="59F6F8D4">
            <w:pPr>
              <w:jc w:val="center"/>
              <w:rPr>
                <w:rFonts w:hint="eastAsia" w:ascii="宋体" w:hAnsi="宋体" w:eastAsia="宋体"/>
                <w:sz w:val="24"/>
                <w:szCs w:val="24"/>
              </w:rPr>
            </w:pPr>
            <w:r>
              <w:rPr>
                <w:rFonts w:hint="eastAsia" w:ascii="宋体" w:hAnsi="宋体" w:eastAsia="宋体"/>
                <w:sz w:val="24"/>
                <w:szCs w:val="24"/>
              </w:rPr>
              <w:t>贡</w:t>
            </w:r>
          </w:p>
          <w:p w14:paraId="4F1ADE50">
            <w:pPr>
              <w:ind w:left="177"/>
              <w:jc w:val="center"/>
              <w:rPr>
                <w:rFonts w:hint="eastAsia" w:ascii="宋体" w:hAnsi="宋体" w:eastAsia="宋体"/>
                <w:sz w:val="24"/>
                <w:szCs w:val="24"/>
              </w:rPr>
            </w:pPr>
          </w:p>
          <w:p w14:paraId="180314FE">
            <w:pPr>
              <w:ind w:left="177"/>
              <w:jc w:val="center"/>
              <w:rPr>
                <w:rFonts w:hint="eastAsia" w:ascii="宋体" w:hAnsi="宋体" w:eastAsia="宋体"/>
                <w:sz w:val="24"/>
                <w:szCs w:val="24"/>
              </w:rPr>
            </w:pPr>
          </w:p>
          <w:p w14:paraId="10C3C99E">
            <w:pPr>
              <w:ind w:left="177"/>
              <w:jc w:val="center"/>
              <w:rPr>
                <w:rFonts w:hint="eastAsia" w:ascii="宋体" w:hAnsi="宋体" w:eastAsia="宋体"/>
                <w:sz w:val="24"/>
                <w:szCs w:val="24"/>
              </w:rPr>
            </w:pPr>
          </w:p>
          <w:p w14:paraId="7D930762">
            <w:pPr>
              <w:jc w:val="center"/>
              <w:rPr>
                <w:rFonts w:hint="eastAsia" w:ascii="宋体" w:hAnsi="宋体" w:eastAsia="宋体"/>
                <w:sz w:val="24"/>
                <w:szCs w:val="24"/>
              </w:rPr>
            </w:pPr>
            <w:r>
              <w:rPr>
                <w:rFonts w:hint="eastAsia" w:ascii="宋体" w:hAnsi="宋体" w:eastAsia="宋体"/>
                <w:sz w:val="24"/>
                <w:szCs w:val="24"/>
              </w:rPr>
              <w:t>献</w:t>
            </w:r>
          </w:p>
          <w:p w14:paraId="102C1E2D">
            <w:pPr>
              <w:jc w:val="center"/>
              <w:rPr>
                <w:rFonts w:hint="eastAsia" w:ascii="宋体" w:hAnsi="宋体" w:eastAsia="宋体"/>
                <w:sz w:val="24"/>
                <w:szCs w:val="24"/>
              </w:rPr>
            </w:pPr>
          </w:p>
        </w:tc>
        <w:tc>
          <w:tcPr>
            <w:tcW w:w="4525" w:type="pct"/>
            <w:gridSpan w:val="4"/>
            <w:noWrap w:val="0"/>
            <w:vAlign w:val="bottom"/>
          </w:tcPr>
          <w:p w14:paraId="768CAED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right="0"/>
              <w:textAlignment w:val="auto"/>
              <w:rPr>
                <w:rFonts w:hint="eastAsia" w:asciiTheme="minorEastAsia" w:hAnsiTheme="minorEastAsia" w:eastAsiaTheme="minorEastAsia" w:cstheme="minorEastAsia"/>
                <w:i w:val="0"/>
                <w:iCs w:val="0"/>
                <w:caps w:val="0"/>
                <w:color w:val="404040"/>
                <w:spacing w:val="0"/>
                <w:sz w:val="24"/>
                <w:szCs w:val="24"/>
                <w:shd w:val="clear" w:fill="FFFFFF"/>
                <w:lang w:val="en-US" w:eastAsia="zh-CN"/>
              </w:rPr>
            </w:pPr>
          </w:p>
          <w:p w14:paraId="4A6630F0">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right="0"/>
              <w:textAlignment w:val="auto"/>
              <w:rPr>
                <w:rFonts w:hint="eastAsia" w:asciiTheme="minorEastAsia" w:hAnsiTheme="minorEastAsia" w:eastAsiaTheme="minorEastAsia" w:cstheme="minorEastAsia"/>
                <w:i w:val="0"/>
                <w:iCs w:val="0"/>
                <w:caps w:val="0"/>
                <w:color w:val="404040"/>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1.广西南宁技师学院为</w:t>
            </w:r>
            <w:r>
              <w:rPr>
                <w:rFonts w:hint="eastAsia" w:asciiTheme="minorEastAsia" w:hAnsiTheme="minorEastAsia" w:eastAsiaTheme="minorEastAsia" w:cstheme="minorEastAsia"/>
                <w:i w:val="0"/>
                <w:iCs w:val="0"/>
                <w:caps w:val="0"/>
                <w:color w:val="404040"/>
                <w:spacing w:val="0"/>
                <w:sz w:val="24"/>
                <w:szCs w:val="24"/>
                <w:shd w:val="clear" w:fill="FFFFFF"/>
              </w:rPr>
              <w:t>成果</w:t>
            </w: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提供了</w:t>
            </w:r>
            <w:r>
              <w:rPr>
                <w:rFonts w:hint="eastAsia" w:asciiTheme="minorEastAsia" w:hAnsiTheme="minorEastAsia" w:eastAsiaTheme="minorEastAsia" w:cstheme="minorEastAsia"/>
                <w:i w:val="0"/>
                <w:iCs w:val="0"/>
                <w:caps w:val="0"/>
                <w:color w:val="404040"/>
                <w:spacing w:val="0"/>
                <w:sz w:val="24"/>
                <w:szCs w:val="24"/>
                <w:shd w:val="clear" w:fill="FFFFFF"/>
              </w:rPr>
              <w:t>经过</w:t>
            </w:r>
            <w:r>
              <w:rPr>
                <w:rFonts w:hint="eastAsia" w:asciiTheme="minorEastAsia" w:hAnsiTheme="minorEastAsia" w:eastAsiaTheme="minorEastAsia" w:cstheme="minorEastAsia"/>
                <w:i w:val="0"/>
                <w:iCs w:val="0"/>
                <w:caps w:val="0"/>
                <w:color w:val="404040"/>
                <w:spacing w:val="0"/>
                <w:kern w:val="0"/>
                <w:sz w:val="24"/>
                <w:szCs w:val="24"/>
                <w:shd w:val="clear" w:fill="FFFFFF"/>
                <w:lang w:val="en-US" w:eastAsia="zh-CN" w:bidi="ar"/>
              </w:rPr>
              <w:t>多年建设与积淀形成的坚实基础，包括完善的实训设施、优秀的师资队伍以及成熟的教育教学管理体系。学院拥有先进的医药康养实训设备，为“三境工学交替·四岗育训协同”人才培养体系的实践提供了良好的硬件条件。学院高度重视师资队伍建设，培养和引进了一批具有丰富实践经验和教学能力的专业教师，为成果的实施提供了人才保障。同时，学院成熟的教育教学管理体系为成果的顺利推进提供了制度保障，确保了各项教学改革的稳步实施。</w:t>
            </w:r>
          </w:p>
          <w:p w14:paraId="4B669E5E">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right="0"/>
              <w:textAlignment w:val="auto"/>
              <w:rPr>
                <w:rFonts w:hint="eastAsia" w:asciiTheme="minorEastAsia" w:hAnsiTheme="minorEastAsia" w:eastAsiaTheme="minorEastAsia" w:cstheme="minorEastAsia"/>
                <w:i w:val="0"/>
                <w:iCs w:val="0"/>
                <w:caps w:val="0"/>
                <w:color w:val="404040"/>
                <w:spacing w:val="0"/>
                <w:kern w:val="0"/>
                <w:sz w:val="24"/>
                <w:szCs w:val="24"/>
                <w:shd w:val="clear" w:fill="FFFFFF"/>
                <w:lang w:val="en-US" w:eastAsia="zh-CN" w:bidi="ar"/>
              </w:rPr>
            </w:pPr>
            <w:r>
              <w:rPr>
                <w:rFonts w:hint="eastAsia" w:asciiTheme="minorEastAsia" w:hAnsiTheme="minorEastAsia" w:eastAsiaTheme="minorEastAsia" w:cstheme="minorEastAsia"/>
                <w:i w:val="0"/>
                <w:iCs w:val="0"/>
                <w:caps w:val="0"/>
                <w:color w:val="404040"/>
                <w:spacing w:val="0"/>
                <w:kern w:val="0"/>
                <w:sz w:val="24"/>
                <w:szCs w:val="24"/>
                <w:shd w:val="clear" w:fill="FFFFFF"/>
                <w:lang w:val="en-US" w:eastAsia="zh-CN" w:bidi="ar"/>
              </w:rPr>
              <w:t>2.学院积极推动产教融合，为成果与企业深度合作搭建了广阔平台。学院与广西梧州制药、贺州西麦食品等多家知名企业建立了长期稳定的合作关系，签订了深度合作协议，共同开展人才培养、技术研发、项目合作等工作。通过企业课堂、社区服务等项目，让学生在实际工作环境中学习和实践，提高了学生的专业技能和职业素养，同时也为企业提供了定制化的人才和技术支持，实现了校企双方的互利共赢。</w:t>
            </w:r>
          </w:p>
          <w:p w14:paraId="797BBD81">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right="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kern w:val="0"/>
                <w:sz w:val="24"/>
                <w:szCs w:val="24"/>
                <w:shd w:val="clear" w:fill="FFFFFF"/>
                <w:lang w:val="en-US" w:eastAsia="zh-CN" w:bidi="ar"/>
              </w:rPr>
              <w:t>3.学院大力支持成果的推广应用，通过多种渠道扩大成果的影响力。学院积极组织专题报告、经验交流会等活动，向区内兄弟院校分享成果的经验和做法，为其他院校提供了可借鉴的范例。同时，学院还热情接待多批次考察团，展示成果的实践成效，扩大了成果在行业内的知名度和美誉度。此外，学院还鼓励教师将成果应用到教学中，推动教学质量的整体提升，为区域职业教育改革发展作出了积极贡献。</w:t>
            </w:r>
          </w:p>
          <w:p w14:paraId="45A25090">
            <w:pPr>
              <w:rPr>
                <w:rFonts w:hint="eastAsia" w:ascii="宋体" w:hAnsi="宋体" w:eastAsia="宋体"/>
                <w:sz w:val="24"/>
                <w:szCs w:val="24"/>
              </w:rPr>
            </w:pPr>
          </w:p>
          <w:p w14:paraId="44A9F764">
            <w:pPr>
              <w:rPr>
                <w:rFonts w:hint="eastAsia" w:ascii="宋体" w:hAnsi="宋体" w:eastAsia="宋体"/>
                <w:sz w:val="24"/>
                <w:szCs w:val="24"/>
              </w:rPr>
            </w:pPr>
            <w:r>
              <w:drawing>
                <wp:anchor distT="0" distB="0" distL="114300" distR="114300" simplePos="0" relativeHeight="251667456" behindDoc="0" locked="0" layoutInCell="1" allowOverlap="1">
                  <wp:simplePos x="0" y="0"/>
                  <wp:positionH relativeFrom="column">
                    <wp:posOffset>2820035</wp:posOffset>
                  </wp:positionH>
                  <wp:positionV relativeFrom="paragraph">
                    <wp:posOffset>29845</wp:posOffset>
                  </wp:positionV>
                  <wp:extent cx="1333500" cy="1333500"/>
                  <wp:effectExtent l="0" t="0" r="0" b="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1"/>
                          <a:stretch>
                            <a:fillRect/>
                          </a:stretch>
                        </pic:blipFill>
                        <pic:spPr>
                          <a:xfrm>
                            <a:off x="0" y="0"/>
                            <a:ext cx="1333500" cy="1333500"/>
                          </a:xfrm>
                          <a:prstGeom prst="rect">
                            <a:avLst/>
                          </a:prstGeom>
                          <a:noFill/>
                          <a:ln>
                            <a:noFill/>
                          </a:ln>
                        </pic:spPr>
                      </pic:pic>
                    </a:graphicData>
                  </a:graphic>
                </wp:anchor>
              </w:drawing>
            </w:r>
          </w:p>
          <w:p w14:paraId="7D6A1176">
            <w:pPr>
              <w:rPr>
                <w:rFonts w:hint="eastAsia" w:ascii="宋体" w:hAnsi="宋体" w:eastAsia="宋体"/>
                <w:sz w:val="24"/>
                <w:szCs w:val="24"/>
              </w:rPr>
            </w:pPr>
          </w:p>
          <w:p w14:paraId="77C2E8C6">
            <w:pPr>
              <w:rPr>
                <w:rFonts w:hint="eastAsia" w:ascii="宋体" w:hAnsi="宋体" w:eastAsia="宋体"/>
                <w:sz w:val="24"/>
                <w:szCs w:val="24"/>
              </w:rPr>
            </w:pPr>
          </w:p>
          <w:p w14:paraId="3B9F9E5C">
            <w:pPr>
              <w:ind w:left="176" w:firstLine="4080"/>
              <w:rPr>
                <w:rFonts w:hint="eastAsia" w:ascii="宋体" w:hAnsi="宋体" w:eastAsia="宋体"/>
                <w:sz w:val="24"/>
                <w:szCs w:val="24"/>
              </w:rPr>
            </w:pPr>
            <w:r>
              <w:rPr>
                <w:rFonts w:hint="eastAsia" w:ascii="宋体" w:hAnsi="宋体" w:eastAsia="宋体"/>
                <w:sz w:val="24"/>
                <w:szCs w:val="24"/>
              </w:rPr>
              <w:t>单位盖章</w:t>
            </w:r>
          </w:p>
          <w:p w14:paraId="14095CC7">
            <w:pPr>
              <w:ind w:left="177"/>
              <w:rPr>
                <w:rFonts w:hint="eastAsia" w:ascii="宋体" w:hAnsi="宋体" w:eastAsia="宋体"/>
                <w:sz w:val="24"/>
                <w:szCs w:val="24"/>
              </w:rPr>
            </w:pPr>
          </w:p>
          <w:p w14:paraId="158A5867">
            <w:pPr>
              <w:ind w:firstLine="4320" w:firstLineChars="1800"/>
              <w:rPr>
                <w:rFonts w:hint="eastAsia" w:ascii="宋体" w:hAnsi="宋体" w:eastAsia="宋体"/>
                <w:sz w:val="24"/>
                <w:szCs w:val="24"/>
              </w:rPr>
            </w:pPr>
            <w:r>
              <w:rPr>
                <w:rFonts w:hint="eastAsia" w:ascii="宋体" w:hAnsi="宋体" w:eastAsia="宋体"/>
                <w:sz w:val="24"/>
                <w:szCs w:val="24"/>
                <w:lang w:val="en-US" w:eastAsia="zh-CN"/>
              </w:rPr>
              <w:t>2025</w:t>
            </w:r>
            <w:r>
              <w:rPr>
                <w:rFonts w:hint="eastAsia" w:ascii="宋体" w:hAnsi="宋体" w:eastAsia="宋体"/>
                <w:sz w:val="24"/>
                <w:szCs w:val="24"/>
              </w:rPr>
              <w:t>年</w:t>
            </w:r>
            <w:r>
              <w:rPr>
                <w:rFonts w:hint="eastAsia" w:ascii="宋体" w:hAnsi="宋体" w:eastAsia="宋体"/>
                <w:sz w:val="24"/>
                <w:szCs w:val="24"/>
                <w:lang w:val="en-US" w:eastAsia="zh-CN"/>
              </w:rPr>
              <w:t xml:space="preserve"> 9 </w:t>
            </w:r>
            <w:r>
              <w:rPr>
                <w:rFonts w:hint="eastAsia" w:ascii="宋体" w:hAnsi="宋体" w:eastAsia="宋体"/>
                <w:sz w:val="24"/>
                <w:szCs w:val="24"/>
              </w:rPr>
              <w:t>月</w:t>
            </w:r>
            <w:r>
              <w:rPr>
                <w:rFonts w:hint="eastAsia" w:ascii="宋体" w:hAnsi="宋体" w:eastAsia="宋体"/>
                <w:sz w:val="24"/>
                <w:szCs w:val="24"/>
                <w:lang w:val="en-US" w:eastAsia="zh-CN"/>
              </w:rPr>
              <w:t xml:space="preserve"> 1 </w:t>
            </w:r>
            <w:r>
              <w:rPr>
                <w:rFonts w:hint="eastAsia" w:ascii="宋体" w:hAnsi="宋体" w:eastAsia="宋体"/>
                <w:sz w:val="24"/>
                <w:szCs w:val="24"/>
              </w:rPr>
              <w:t>日</w:t>
            </w:r>
          </w:p>
          <w:p w14:paraId="5A8D7D1C">
            <w:pPr>
              <w:rPr>
                <w:rFonts w:hint="eastAsia" w:ascii="宋体" w:hAnsi="宋体" w:eastAsia="宋体"/>
                <w:sz w:val="24"/>
                <w:szCs w:val="24"/>
              </w:rPr>
            </w:pPr>
          </w:p>
        </w:tc>
      </w:tr>
    </w:tbl>
    <w:p w14:paraId="70270F01">
      <w:pPr>
        <w:jc w:val="center"/>
        <w:rPr>
          <w:rFonts w:hint="eastAsia" w:ascii="仿宋" w:hAnsi="仿宋" w:cs="仿宋"/>
          <w:sz w:val="24"/>
          <w:szCs w:val="24"/>
        </w:rPr>
      </w:pPr>
      <w:r>
        <w:rPr>
          <w:rFonts w:hint="eastAsia" w:ascii="仿宋" w:hAnsi="仿宋" w:cs="仿宋"/>
          <w:sz w:val="24"/>
          <w:szCs w:val="24"/>
        </w:rPr>
        <w:t>备注：前三完成单位每单位一张表。</w:t>
      </w:r>
      <w:r>
        <w:rPr>
          <w:rFonts w:hint="eastAsia" w:ascii="仿宋" w:hAnsi="仿宋" w:cs="仿宋"/>
          <w:sz w:val="24"/>
          <w:szCs w:val="24"/>
        </w:rPr>
        <w:br w:type="page"/>
      </w:r>
    </w:p>
    <w:p w14:paraId="13C1C006">
      <w:pPr>
        <w:jc w:val="center"/>
        <w:rPr>
          <w:rFonts w:hint="eastAsia" w:ascii="仿宋" w:hAnsi="仿宋" w:cs="仿宋"/>
          <w:sz w:val="24"/>
          <w:szCs w:val="24"/>
        </w:rPr>
      </w:pPr>
    </w:p>
    <w:p w14:paraId="69F99A1C">
      <w:pPr>
        <w:jc w:val="center"/>
        <w:rPr>
          <w:rFonts w:hint="eastAsia" w:ascii="仿宋" w:hAnsi="仿宋" w:cs="仿宋"/>
          <w:sz w:val="24"/>
          <w:szCs w:val="24"/>
        </w:rPr>
      </w:pP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-152400</wp:posOffset>
            </wp:positionH>
            <wp:positionV relativeFrom="paragraph">
              <wp:posOffset>122555</wp:posOffset>
            </wp:positionV>
            <wp:extent cx="5298440" cy="7588250"/>
            <wp:effectExtent l="0" t="0" r="10160" b="635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2"/>
                    <a:stretch>
                      <a:fillRect/>
                    </a:stretch>
                  </pic:blipFill>
                  <pic:spPr>
                    <a:xfrm>
                      <a:off x="0" y="0"/>
                      <a:ext cx="5298440" cy="7588250"/>
                    </a:xfrm>
                    <a:prstGeom prst="rect">
                      <a:avLst/>
                    </a:prstGeom>
                    <a:noFill/>
                    <a:ln w="9525">
                      <a:noFill/>
                    </a:ln>
                  </pic:spPr>
                </pic:pic>
              </a:graphicData>
            </a:graphic>
          </wp:anchor>
        </w:drawing>
      </w:r>
    </w:p>
    <w:p w14:paraId="0AAC7133">
      <w:pPr>
        <w:jc w:val="center"/>
        <w:rPr>
          <w:rFonts w:hint="eastAsia" w:ascii="仿宋" w:hAnsi="仿宋" w:cs="仿宋"/>
          <w:sz w:val="24"/>
          <w:szCs w:val="24"/>
        </w:rPr>
      </w:pPr>
    </w:p>
    <w:p w14:paraId="41C65574">
      <w:pPr>
        <w:jc w:val="center"/>
        <w:rPr>
          <w:rFonts w:hint="eastAsia" w:ascii="仿宋" w:hAnsi="仿宋" w:cs="仿宋"/>
          <w:sz w:val="24"/>
          <w:szCs w:val="24"/>
        </w:rPr>
      </w:pPr>
    </w:p>
    <w:p w14:paraId="0F79A0B6">
      <w:pPr>
        <w:jc w:val="center"/>
        <w:rPr>
          <w:rFonts w:hint="eastAsia" w:ascii="仿宋" w:hAnsi="仿宋" w:cs="仿宋"/>
          <w:sz w:val="24"/>
          <w:szCs w:val="24"/>
        </w:rPr>
      </w:pPr>
    </w:p>
    <w:p w14:paraId="68F94977">
      <w:pPr>
        <w:jc w:val="center"/>
        <w:rPr>
          <w:rFonts w:hint="eastAsia" w:ascii="仿宋" w:hAnsi="仿宋" w:cs="仿宋"/>
          <w:sz w:val="24"/>
          <w:szCs w:val="24"/>
        </w:rPr>
      </w:pPr>
    </w:p>
    <w:p w14:paraId="1DF59B4D">
      <w:pPr>
        <w:jc w:val="center"/>
        <w:rPr>
          <w:rFonts w:hint="eastAsia" w:ascii="仿宋" w:hAnsi="仿宋" w:cs="仿宋"/>
          <w:sz w:val="24"/>
          <w:szCs w:val="24"/>
        </w:rPr>
      </w:pPr>
    </w:p>
    <w:p w14:paraId="09206F54">
      <w:pPr>
        <w:jc w:val="center"/>
        <w:rPr>
          <w:rFonts w:hint="eastAsia" w:ascii="仿宋" w:hAnsi="仿宋" w:cs="仿宋"/>
          <w:sz w:val="24"/>
          <w:szCs w:val="24"/>
        </w:rPr>
      </w:pPr>
    </w:p>
    <w:p w14:paraId="2A8AA266">
      <w:pPr>
        <w:jc w:val="center"/>
        <w:rPr>
          <w:rFonts w:hint="eastAsia" w:ascii="仿宋" w:hAnsi="仿宋" w:cs="仿宋"/>
          <w:sz w:val="24"/>
          <w:szCs w:val="24"/>
        </w:rPr>
      </w:pPr>
    </w:p>
    <w:p w14:paraId="4FA176B1">
      <w:pPr>
        <w:jc w:val="center"/>
        <w:rPr>
          <w:rFonts w:hint="eastAsia" w:ascii="仿宋" w:hAnsi="仿宋" w:cs="仿宋"/>
          <w:sz w:val="24"/>
          <w:szCs w:val="24"/>
        </w:rPr>
      </w:pPr>
    </w:p>
    <w:p w14:paraId="6341D142">
      <w:pPr>
        <w:jc w:val="center"/>
        <w:rPr>
          <w:rFonts w:hint="eastAsia" w:ascii="仿宋" w:hAnsi="仿宋" w:cs="仿宋"/>
          <w:sz w:val="24"/>
          <w:szCs w:val="24"/>
        </w:rPr>
      </w:pPr>
    </w:p>
    <w:p w14:paraId="05C2C9AC">
      <w:pPr>
        <w:jc w:val="center"/>
        <w:rPr>
          <w:rFonts w:hint="eastAsia" w:ascii="仿宋" w:hAnsi="仿宋" w:cs="仿宋"/>
          <w:sz w:val="24"/>
          <w:szCs w:val="24"/>
        </w:rPr>
      </w:pPr>
    </w:p>
    <w:p w14:paraId="74480977">
      <w:pPr>
        <w:jc w:val="center"/>
        <w:rPr>
          <w:rFonts w:hint="eastAsia" w:ascii="仿宋" w:hAnsi="仿宋" w:cs="仿宋"/>
          <w:sz w:val="24"/>
          <w:szCs w:val="24"/>
        </w:rPr>
      </w:pPr>
    </w:p>
    <w:p w14:paraId="5D6D87FF">
      <w:pPr>
        <w:jc w:val="center"/>
        <w:rPr>
          <w:rFonts w:hint="eastAsia" w:ascii="仿宋" w:hAnsi="仿宋" w:cs="仿宋"/>
          <w:sz w:val="24"/>
          <w:szCs w:val="24"/>
        </w:rPr>
      </w:pPr>
    </w:p>
    <w:p w14:paraId="6EA011C0">
      <w:pPr>
        <w:jc w:val="center"/>
        <w:rPr>
          <w:rFonts w:hint="eastAsia" w:ascii="仿宋" w:hAnsi="仿宋" w:cs="仿宋"/>
          <w:sz w:val="24"/>
          <w:szCs w:val="24"/>
        </w:rPr>
      </w:pPr>
    </w:p>
    <w:p w14:paraId="3ECEDF86">
      <w:pPr>
        <w:jc w:val="center"/>
        <w:rPr>
          <w:rFonts w:hint="eastAsia" w:ascii="仿宋" w:hAnsi="仿宋" w:cs="仿宋"/>
          <w:sz w:val="24"/>
          <w:szCs w:val="24"/>
        </w:rPr>
      </w:pPr>
    </w:p>
    <w:p w14:paraId="025C53B8">
      <w:pPr>
        <w:jc w:val="center"/>
        <w:rPr>
          <w:rFonts w:hint="eastAsia" w:ascii="仿宋" w:hAnsi="仿宋" w:cs="仿宋"/>
          <w:sz w:val="24"/>
          <w:szCs w:val="24"/>
        </w:rPr>
      </w:pPr>
    </w:p>
    <w:p w14:paraId="4E98D39D">
      <w:pPr>
        <w:jc w:val="center"/>
        <w:rPr>
          <w:rFonts w:hint="eastAsia" w:ascii="仿宋" w:hAnsi="仿宋" w:cs="仿宋"/>
          <w:sz w:val="24"/>
          <w:szCs w:val="24"/>
        </w:rPr>
      </w:pPr>
    </w:p>
    <w:p w14:paraId="61BE21F1">
      <w:pPr>
        <w:jc w:val="center"/>
        <w:rPr>
          <w:rFonts w:hint="eastAsia" w:ascii="仿宋" w:hAnsi="仿宋" w:cs="仿宋"/>
          <w:sz w:val="24"/>
          <w:szCs w:val="24"/>
        </w:rPr>
      </w:pPr>
    </w:p>
    <w:p w14:paraId="39C85E23">
      <w:pPr>
        <w:jc w:val="center"/>
        <w:rPr>
          <w:rFonts w:hint="eastAsia" w:ascii="仿宋" w:hAnsi="仿宋" w:cs="仿宋"/>
          <w:sz w:val="24"/>
          <w:szCs w:val="24"/>
        </w:rPr>
      </w:pPr>
    </w:p>
    <w:p w14:paraId="3863C351">
      <w:pPr>
        <w:jc w:val="center"/>
        <w:rPr>
          <w:rFonts w:hint="eastAsia" w:ascii="仿宋" w:hAnsi="仿宋" w:cs="仿宋"/>
          <w:sz w:val="24"/>
          <w:szCs w:val="24"/>
        </w:rPr>
      </w:pPr>
    </w:p>
    <w:p w14:paraId="142B8519">
      <w:pPr>
        <w:jc w:val="center"/>
        <w:rPr>
          <w:rFonts w:hint="eastAsia" w:ascii="仿宋" w:hAnsi="仿宋" w:cs="仿宋"/>
          <w:sz w:val="24"/>
          <w:szCs w:val="24"/>
        </w:rPr>
      </w:pPr>
    </w:p>
    <w:p w14:paraId="498DB846">
      <w:pPr>
        <w:jc w:val="center"/>
        <w:rPr>
          <w:rFonts w:hint="eastAsia" w:ascii="仿宋" w:hAnsi="仿宋" w:cs="仿宋"/>
          <w:sz w:val="24"/>
          <w:szCs w:val="24"/>
        </w:rPr>
      </w:pPr>
    </w:p>
    <w:p w14:paraId="7EC5C1CF">
      <w:pPr>
        <w:jc w:val="center"/>
        <w:rPr>
          <w:rFonts w:hint="eastAsia" w:ascii="仿宋" w:hAnsi="仿宋" w:cs="仿宋"/>
          <w:sz w:val="24"/>
          <w:szCs w:val="24"/>
        </w:rPr>
      </w:pPr>
    </w:p>
    <w:p w14:paraId="7BD9CBFE">
      <w:pPr>
        <w:jc w:val="center"/>
        <w:rPr>
          <w:rFonts w:hint="eastAsia" w:ascii="仿宋" w:hAnsi="仿宋" w:cs="仿宋"/>
          <w:sz w:val="24"/>
          <w:szCs w:val="24"/>
        </w:rPr>
      </w:pPr>
    </w:p>
    <w:p w14:paraId="13CBEC32">
      <w:pPr>
        <w:jc w:val="center"/>
        <w:rPr>
          <w:rFonts w:hint="eastAsia" w:ascii="仿宋" w:hAnsi="仿宋" w:cs="仿宋"/>
          <w:sz w:val="24"/>
          <w:szCs w:val="24"/>
        </w:rPr>
      </w:pPr>
    </w:p>
    <w:p w14:paraId="0C34C45C">
      <w:pPr>
        <w:jc w:val="center"/>
        <w:rPr>
          <w:rFonts w:hint="eastAsia" w:ascii="仿宋" w:hAnsi="仿宋" w:cs="仿宋"/>
          <w:sz w:val="24"/>
          <w:szCs w:val="24"/>
        </w:rPr>
      </w:pPr>
    </w:p>
    <w:p w14:paraId="2792521C">
      <w:pPr>
        <w:jc w:val="center"/>
        <w:rPr>
          <w:rFonts w:hint="eastAsia" w:ascii="仿宋" w:hAnsi="仿宋" w:cs="仿宋"/>
          <w:sz w:val="24"/>
          <w:szCs w:val="24"/>
        </w:rPr>
      </w:pPr>
    </w:p>
    <w:p w14:paraId="764710C5">
      <w:pPr>
        <w:jc w:val="center"/>
        <w:rPr>
          <w:rFonts w:hint="eastAsia" w:ascii="仿宋" w:hAnsi="仿宋" w:cs="仿宋"/>
          <w:sz w:val="24"/>
          <w:szCs w:val="24"/>
        </w:rPr>
      </w:pPr>
    </w:p>
    <w:p w14:paraId="0B14F115">
      <w:pPr>
        <w:jc w:val="center"/>
        <w:rPr>
          <w:rFonts w:hint="eastAsia" w:ascii="仿宋" w:hAnsi="仿宋" w:cs="仿宋"/>
          <w:sz w:val="24"/>
          <w:szCs w:val="24"/>
        </w:rPr>
      </w:pPr>
    </w:p>
    <w:p w14:paraId="4DE632F5">
      <w:pPr>
        <w:jc w:val="center"/>
        <w:rPr>
          <w:rFonts w:hint="eastAsia" w:ascii="仿宋" w:hAnsi="仿宋" w:cs="仿宋"/>
          <w:sz w:val="24"/>
          <w:szCs w:val="24"/>
        </w:rPr>
      </w:pPr>
    </w:p>
    <w:p w14:paraId="0A034A48">
      <w:pPr>
        <w:jc w:val="center"/>
        <w:rPr>
          <w:rFonts w:hint="eastAsia" w:ascii="仿宋" w:hAnsi="仿宋" w:cs="仿宋"/>
          <w:sz w:val="24"/>
          <w:szCs w:val="24"/>
        </w:rPr>
      </w:pPr>
    </w:p>
    <w:p w14:paraId="7127D486">
      <w:pPr>
        <w:jc w:val="center"/>
        <w:rPr>
          <w:rFonts w:hint="eastAsia" w:ascii="仿宋" w:hAnsi="仿宋" w:cs="仿宋"/>
          <w:sz w:val="24"/>
          <w:szCs w:val="24"/>
        </w:rPr>
      </w:pPr>
    </w:p>
    <w:p w14:paraId="528C890C">
      <w:pPr>
        <w:jc w:val="center"/>
        <w:rPr>
          <w:rFonts w:hint="eastAsia" w:ascii="仿宋" w:hAnsi="仿宋" w:cs="仿宋"/>
          <w:sz w:val="24"/>
          <w:szCs w:val="24"/>
        </w:rPr>
      </w:pPr>
    </w:p>
    <w:p w14:paraId="4DED804A">
      <w:pPr>
        <w:jc w:val="center"/>
        <w:rPr>
          <w:rFonts w:hint="eastAsia" w:ascii="仿宋" w:hAnsi="仿宋" w:cs="仿宋"/>
          <w:sz w:val="24"/>
          <w:szCs w:val="24"/>
        </w:rPr>
      </w:pPr>
    </w:p>
    <w:p w14:paraId="1DE53E5F">
      <w:pPr>
        <w:jc w:val="center"/>
        <w:rPr>
          <w:rFonts w:hint="eastAsia" w:ascii="仿宋" w:hAnsi="仿宋" w:cs="仿宋"/>
          <w:sz w:val="24"/>
          <w:szCs w:val="24"/>
        </w:rPr>
      </w:pPr>
    </w:p>
    <w:p w14:paraId="4A19C725">
      <w:pPr>
        <w:jc w:val="center"/>
        <w:rPr>
          <w:rFonts w:hint="eastAsia" w:ascii="仿宋" w:hAnsi="仿宋" w:cs="仿宋"/>
          <w:sz w:val="24"/>
          <w:szCs w:val="24"/>
        </w:rPr>
      </w:pPr>
    </w:p>
    <w:p w14:paraId="0C1A22D0">
      <w:pPr>
        <w:jc w:val="center"/>
        <w:rPr>
          <w:rFonts w:hint="eastAsia" w:ascii="仿宋" w:hAnsi="仿宋" w:cs="仿宋"/>
          <w:sz w:val="24"/>
          <w:szCs w:val="24"/>
        </w:rPr>
      </w:pPr>
    </w:p>
    <w:p w14:paraId="729124CF">
      <w:pPr>
        <w:jc w:val="center"/>
        <w:rPr>
          <w:rFonts w:hint="eastAsia" w:ascii="仿宋" w:hAnsi="仿宋" w:cs="仿宋"/>
          <w:sz w:val="24"/>
          <w:szCs w:val="24"/>
        </w:rPr>
      </w:pPr>
    </w:p>
    <w:p w14:paraId="205A2FD8">
      <w:pPr>
        <w:jc w:val="center"/>
        <w:rPr>
          <w:rFonts w:hint="eastAsia" w:ascii="仿宋" w:hAnsi="仿宋" w:cs="仿宋"/>
          <w:sz w:val="24"/>
          <w:szCs w:val="24"/>
        </w:rPr>
      </w:pPr>
    </w:p>
    <w:p w14:paraId="1D053239">
      <w:pPr>
        <w:jc w:val="center"/>
        <w:rPr>
          <w:rFonts w:hint="eastAsia" w:ascii="仿宋" w:hAnsi="仿宋" w:cs="仿宋"/>
          <w:sz w:val="24"/>
          <w:szCs w:val="24"/>
        </w:rPr>
      </w:pPr>
    </w:p>
    <w:p w14:paraId="136D8357">
      <w:pPr>
        <w:jc w:val="center"/>
        <w:rPr>
          <w:rFonts w:hint="eastAsia" w:ascii="仿宋" w:hAnsi="仿宋" w:cs="仿宋"/>
          <w:sz w:val="24"/>
          <w:szCs w:val="24"/>
        </w:rPr>
      </w:pPr>
    </w:p>
    <w:p w14:paraId="38863771">
      <w:pPr>
        <w:jc w:val="center"/>
        <w:rPr>
          <w:rFonts w:hint="eastAsia" w:ascii="仿宋" w:hAnsi="仿宋" w:cs="仿宋"/>
          <w:sz w:val="24"/>
          <w:szCs w:val="24"/>
        </w:rPr>
      </w:pPr>
    </w:p>
    <w:p w14:paraId="0399A219">
      <w:pPr>
        <w:spacing w:line="560" w:lineRule="exact"/>
        <w:rPr>
          <w:rFonts w:hint="eastAsia" w:ascii="仿宋" w:hAnsi="仿宋" w:cs="仿宋"/>
          <w:sz w:val="24"/>
          <w:szCs w:val="24"/>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-194310</wp:posOffset>
            </wp:positionH>
            <wp:positionV relativeFrom="paragraph">
              <wp:posOffset>143510</wp:posOffset>
            </wp:positionV>
            <wp:extent cx="5500370" cy="7364095"/>
            <wp:effectExtent l="0" t="0" r="11430" b="190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3"/>
                    <a:stretch>
                      <a:fillRect/>
                    </a:stretch>
                  </pic:blipFill>
                  <pic:spPr>
                    <a:xfrm>
                      <a:off x="0" y="0"/>
                      <a:ext cx="5500370" cy="7364095"/>
                    </a:xfrm>
                    <a:prstGeom prst="rect">
                      <a:avLst/>
                    </a:prstGeom>
                    <a:noFill/>
                    <a:ln w="9525">
                      <a:noFill/>
                    </a:ln>
                  </pic:spPr>
                </pic:pic>
              </a:graphicData>
            </a:graphic>
          </wp:anchor>
        </w:drawing>
      </w:r>
    </w:p>
    <w:p w14:paraId="072C5803">
      <w:pPr>
        <w:spacing w:line="560" w:lineRule="exact"/>
        <w:rPr>
          <w:rFonts w:hint="eastAsia" w:ascii="仿宋" w:hAnsi="仿宋" w:cs="仿宋"/>
          <w:sz w:val="24"/>
          <w:szCs w:val="24"/>
        </w:rPr>
      </w:pPr>
    </w:p>
    <w:p w14:paraId="2D6E85DD">
      <w:pPr>
        <w:spacing w:line="560" w:lineRule="exact"/>
        <w:rPr>
          <w:rFonts w:hint="eastAsia" w:ascii="仿宋" w:hAnsi="仿宋" w:cs="仿宋"/>
          <w:sz w:val="24"/>
          <w:szCs w:val="24"/>
        </w:rPr>
      </w:pPr>
    </w:p>
    <w:p w14:paraId="0353E032">
      <w:pPr>
        <w:spacing w:line="560" w:lineRule="exact"/>
        <w:rPr>
          <w:rFonts w:hint="eastAsia" w:ascii="仿宋" w:hAnsi="仿宋" w:cs="仿宋"/>
          <w:sz w:val="24"/>
          <w:szCs w:val="24"/>
        </w:rPr>
      </w:pPr>
    </w:p>
    <w:p w14:paraId="1FD8F5DA">
      <w:pPr>
        <w:spacing w:line="560" w:lineRule="exact"/>
        <w:rPr>
          <w:rFonts w:hint="eastAsia" w:ascii="仿宋" w:hAnsi="仿宋" w:cs="仿宋"/>
          <w:sz w:val="24"/>
          <w:szCs w:val="24"/>
        </w:rPr>
      </w:pPr>
    </w:p>
    <w:p w14:paraId="1A504E25">
      <w:pPr>
        <w:spacing w:line="560" w:lineRule="exact"/>
        <w:rPr>
          <w:rFonts w:hint="eastAsia" w:ascii="仿宋" w:hAnsi="仿宋" w:cs="仿宋"/>
          <w:sz w:val="24"/>
          <w:szCs w:val="24"/>
        </w:rPr>
      </w:pPr>
    </w:p>
    <w:p w14:paraId="5806077E">
      <w:pPr>
        <w:spacing w:line="560" w:lineRule="exact"/>
        <w:rPr>
          <w:rFonts w:hint="eastAsia" w:ascii="仿宋" w:hAnsi="仿宋" w:cs="仿宋"/>
          <w:sz w:val="24"/>
          <w:szCs w:val="24"/>
        </w:rPr>
      </w:pPr>
    </w:p>
    <w:p w14:paraId="7CF99D3A">
      <w:pPr>
        <w:spacing w:line="560" w:lineRule="exact"/>
        <w:rPr>
          <w:rFonts w:hint="eastAsia" w:ascii="仿宋" w:hAnsi="仿宋" w:cs="仿宋"/>
          <w:sz w:val="24"/>
          <w:szCs w:val="24"/>
        </w:rPr>
      </w:pPr>
    </w:p>
    <w:p w14:paraId="001E8315">
      <w:pPr>
        <w:spacing w:line="560" w:lineRule="exact"/>
        <w:rPr>
          <w:rFonts w:hint="eastAsia" w:ascii="仿宋" w:hAnsi="仿宋" w:cs="仿宋"/>
          <w:sz w:val="24"/>
          <w:szCs w:val="24"/>
        </w:rPr>
      </w:pPr>
    </w:p>
    <w:p w14:paraId="449C478E">
      <w:pPr>
        <w:spacing w:line="560" w:lineRule="exact"/>
        <w:rPr>
          <w:rFonts w:hint="eastAsia" w:ascii="仿宋" w:hAnsi="仿宋" w:cs="仿宋"/>
          <w:sz w:val="24"/>
          <w:szCs w:val="24"/>
        </w:rPr>
      </w:pPr>
    </w:p>
    <w:p w14:paraId="0107690E">
      <w:pPr>
        <w:spacing w:line="560" w:lineRule="exact"/>
        <w:rPr>
          <w:rFonts w:hint="eastAsia" w:ascii="仿宋" w:hAnsi="仿宋" w:cs="仿宋"/>
          <w:sz w:val="24"/>
          <w:szCs w:val="24"/>
        </w:rPr>
      </w:pPr>
    </w:p>
    <w:p w14:paraId="77B0E65B">
      <w:pPr>
        <w:spacing w:line="560" w:lineRule="exact"/>
        <w:rPr>
          <w:rFonts w:hint="eastAsia" w:ascii="仿宋" w:hAnsi="仿宋" w:cs="仿宋"/>
          <w:sz w:val="24"/>
          <w:szCs w:val="24"/>
        </w:rPr>
      </w:pPr>
    </w:p>
    <w:p w14:paraId="378695E9">
      <w:pPr>
        <w:spacing w:line="560" w:lineRule="exact"/>
        <w:rPr>
          <w:rFonts w:hint="eastAsia" w:ascii="仿宋" w:hAnsi="仿宋" w:cs="仿宋"/>
          <w:sz w:val="24"/>
          <w:szCs w:val="24"/>
        </w:rPr>
      </w:pPr>
    </w:p>
    <w:p w14:paraId="751726C3">
      <w:pPr>
        <w:spacing w:line="560" w:lineRule="exact"/>
        <w:rPr>
          <w:rFonts w:hint="eastAsia" w:ascii="仿宋" w:hAnsi="仿宋" w:cs="仿宋"/>
          <w:sz w:val="24"/>
          <w:szCs w:val="24"/>
        </w:rPr>
      </w:pPr>
    </w:p>
    <w:p w14:paraId="57462D81">
      <w:pPr>
        <w:spacing w:line="560" w:lineRule="exact"/>
        <w:rPr>
          <w:rFonts w:hint="eastAsia" w:ascii="仿宋" w:hAnsi="仿宋" w:cs="仿宋"/>
          <w:sz w:val="24"/>
          <w:szCs w:val="24"/>
        </w:rPr>
      </w:pPr>
    </w:p>
    <w:p w14:paraId="5D47A654">
      <w:pPr>
        <w:spacing w:line="560" w:lineRule="exact"/>
        <w:rPr>
          <w:rFonts w:hint="eastAsia" w:ascii="仿宋" w:hAnsi="仿宋" w:cs="仿宋"/>
          <w:sz w:val="24"/>
          <w:szCs w:val="24"/>
        </w:rPr>
      </w:pPr>
    </w:p>
    <w:p w14:paraId="7F2A7119">
      <w:pPr>
        <w:spacing w:line="560" w:lineRule="exact"/>
        <w:rPr>
          <w:rFonts w:hint="eastAsia" w:ascii="仿宋" w:hAnsi="仿宋" w:cs="仿宋"/>
          <w:sz w:val="24"/>
          <w:szCs w:val="24"/>
        </w:rPr>
      </w:pPr>
    </w:p>
    <w:p w14:paraId="041FFD0D">
      <w:pPr>
        <w:spacing w:line="560" w:lineRule="exact"/>
        <w:rPr>
          <w:rFonts w:hint="eastAsia" w:ascii="仿宋" w:hAnsi="仿宋" w:cs="仿宋"/>
          <w:sz w:val="24"/>
          <w:szCs w:val="24"/>
        </w:rPr>
      </w:pPr>
    </w:p>
    <w:p w14:paraId="51FD3458">
      <w:pPr>
        <w:spacing w:line="560" w:lineRule="exact"/>
        <w:rPr>
          <w:rFonts w:hint="eastAsia" w:ascii="仿宋" w:hAnsi="仿宋" w:cs="仿宋"/>
          <w:sz w:val="24"/>
          <w:szCs w:val="24"/>
        </w:rPr>
      </w:pPr>
    </w:p>
    <w:p w14:paraId="28FC5219">
      <w:pPr>
        <w:spacing w:line="560" w:lineRule="exact"/>
        <w:rPr>
          <w:rFonts w:hint="eastAsia" w:ascii="仿宋" w:hAnsi="仿宋" w:cs="仿宋"/>
          <w:sz w:val="24"/>
          <w:szCs w:val="24"/>
        </w:rPr>
      </w:pPr>
    </w:p>
    <w:p w14:paraId="21E60F71">
      <w:pPr>
        <w:spacing w:line="560" w:lineRule="exact"/>
        <w:rPr>
          <w:rFonts w:hint="eastAsia" w:ascii="仿宋" w:hAnsi="仿宋" w:cs="仿宋"/>
          <w:sz w:val="24"/>
          <w:szCs w:val="24"/>
        </w:rPr>
      </w:pPr>
    </w:p>
    <w:p w14:paraId="4648B71E">
      <w:pPr>
        <w:spacing w:line="560" w:lineRule="exact"/>
        <w:rPr>
          <w:rFonts w:hint="eastAsia" w:ascii="仿宋" w:hAnsi="仿宋" w:cs="仿宋"/>
          <w:sz w:val="24"/>
          <w:szCs w:val="24"/>
        </w:rPr>
      </w:pPr>
    </w:p>
    <w:p w14:paraId="2DD0F081">
      <w:pPr>
        <w:spacing w:line="560" w:lineRule="exact"/>
        <w:rPr>
          <w:rFonts w:hint="eastAsia" w:ascii="黑体" w:hAnsi="黑体" w:eastAsia="黑体"/>
          <w:szCs w:val="32"/>
        </w:rPr>
      </w:pPr>
      <w:r>
        <w:rPr>
          <w:rFonts w:hint="eastAsia" w:ascii="仿宋" w:hAnsi="仿宋" w:cs="仿宋"/>
          <w:sz w:val="24"/>
          <w:szCs w:val="24"/>
        </w:rPr>
        <w:t>备注：前三完成单位每单位一张表。</w:t>
      </w:r>
      <w:r>
        <w:rPr>
          <w:rFonts w:hint="eastAsia" w:ascii="仿宋" w:hAnsi="仿宋" w:cs="仿宋"/>
          <w:sz w:val="24"/>
          <w:szCs w:val="24"/>
        </w:rPr>
        <w:br w:type="page"/>
      </w:r>
      <w:r>
        <w:rPr>
          <w:rFonts w:hint="eastAsia" w:ascii="黑体" w:hAnsi="黑体" w:eastAsia="黑体"/>
          <w:szCs w:val="32"/>
        </w:rPr>
        <w:t>四、推荐意见</w:t>
      </w:r>
    </w:p>
    <w:tbl>
      <w:tblPr>
        <w:tblStyle w:val="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72"/>
        <w:gridCol w:w="7982"/>
      </w:tblGrid>
      <w:tr w14:paraId="5D1A73D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17" w:hRule="atLeast"/>
          <w:jc w:val="center"/>
        </w:trPr>
        <w:tc>
          <w:tcPr>
            <w:tcW w:w="1072" w:type="dxa"/>
            <w:noWrap w:val="0"/>
            <w:vAlign w:val="center"/>
          </w:tcPr>
          <w:p w14:paraId="1D59FEC3">
            <w:pPr>
              <w:ind w:left="-63"/>
              <w:jc w:val="center"/>
              <w:rPr>
                <w:rFonts w:hint="eastAsia" w:ascii="宋体" w:hAnsi="宋体" w:eastAsia="宋体"/>
                <w:sz w:val="24"/>
                <w:szCs w:val="24"/>
              </w:rPr>
            </w:pPr>
            <w:r>
              <w:rPr>
                <w:rFonts w:hint="eastAsia" w:ascii="宋体" w:hAnsi="宋体" w:eastAsia="宋体"/>
                <w:sz w:val="24"/>
                <w:szCs w:val="24"/>
              </w:rPr>
              <w:t>推</w:t>
            </w:r>
          </w:p>
          <w:p w14:paraId="25F0578B">
            <w:pPr>
              <w:ind w:left="-63"/>
              <w:jc w:val="center"/>
              <w:rPr>
                <w:rFonts w:hint="eastAsia" w:ascii="宋体" w:hAnsi="宋体" w:eastAsia="宋体"/>
                <w:sz w:val="24"/>
                <w:szCs w:val="24"/>
              </w:rPr>
            </w:pPr>
          </w:p>
          <w:p w14:paraId="605356D7">
            <w:pPr>
              <w:ind w:left="-63"/>
              <w:jc w:val="center"/>
              <w:rPr>
                <w:rFonts w:hint="eastAsia" w:ascii="宋体" w:hAnsi="宋体" w:eastAsia="宋体"/>
                <w:sz w:val="24"/>
                <w:szCs w:val="24"/>
              </w:rPr>
            </w:pPr>
            <w:r>
              <w:rPr>
                <w:rFonts w:hint="eastAsia" w:ascii="宋体" w:hAnsi="宋体" w:eastAsia="宋体"/>
                <w:sz w:val="24"/>
                <w:szCs w:val="24"/>
              </w:rPr>
              <w:t>荐</w:t>
            </w:r>
          </w:p>
          <w:p w14:paraId="0272EC01">
            <w:pPr>
              <w:ind w:left="-63"/>
              <w:jc w:val="center"/>
              <w:rPr>
                <w:rFonts w:hint="eastAsia" w:ascii="宋体" w:hAnsi="宋体" w:eastAsia="宋体"/>
                <w:sz w:val="24"/>
                <w:szCs w:val="24"/>
              </w:rPr>
            </w:pPr>
          </w:p>
          <w:p w14:paraId="0660F0D5">
            <w:pPr>
              <w:ind w:left="-63"/>
              <w:jc w:val="center"/>
              <w:rPr>
                <w:rFonts w:hint="eastAsia" w:ascii="宋体" w:hAnsi="宋体" w:eastAsia="宋体"/>
                <w:sz w:val="24"/>
                <w:szCs w:val="24"/>
              </w:rPr>
            </w:pPr>
            <w:r>
              <w:rPr>
                <w:rFonts w:hint="eastAsia" w:ascii="宋体" w:hAnsi="宋体" w:eastAsia="宋体"/>
                <w:sz w:val="24"/>
                <w:szCs w:val="24"/>
              </w:rPr>
              <w:t>意</w:t>
            </w:r>
          </w:p>
          <w:p w14:paraId="3B986646">
            <w:pPr>
              <w:ind w:left="-63"/>
              <w:jc w:val="center"/>
              <w:rPr>
                <w:rFonts w:hint="eastAsia" w:ascii="宋体" w:hAnsi="宋体" w:eastAsia="宋体"/>
                <w:sz w:val="24"/>
                <w:szCs w:val="24"/>
              </w:rPr>
            </w:pPr>
          </w:p>
          <w:p w14:paraId="43A8BD35">
            <w:pPr>
              <w:ind w:left="-63"/>
              <w:jc w:val="center"/>
              <w:rPr>
                <w:rFonts w:hint="eastAsia" w:ascii="宋体" w:hAnsi="宋体" w:eastAsia="宋体"/>
                <w:sz w:val="24"/>
                <w:szCs w:val="24"/>
              </w:rPr>
            </w:pPr>
            <w:r>
              <w:rPr>
                <w:rFonts w:hint="eastAsia" w:ascii="宋体" w:hAnsi="宋体" w:eastAsia="宋体"/>
                <w:sz w:val="24"/>
                <w:szCs w:val="24"/>
              </w:rPr>
              <w:t>见</w:t>
            </w:r>
          </w:p>
        </w:tc>
        <w:tc>
          <w:tcPr>
            <w:tcW w:w="7982" w:type="dxa"/>
            <w:noWrap w:val="0"/>
            <w:vAlign w:val="top"/>
          </w:tcPr>
          <w:p w14:paraId="7E735B90">
            <w:pPr>
              <w:rPr>
                <w:rFonts w:ascii="宋体" w:hAnsi="宋体" w:eastAsia="宋体"/>
                <w:sz w:val="24"/>
                <w:szCs w:val="24"/>
              </w:rPr>
            </w:pPr>
            <w:r>
              <w:rPr>
                <w:rFonts w:hint="eastAsia" w:ascii="宋体" w:hAnsi="宋体" w:eastAsia="宋体"/>
                <w:sz w:val="24"/>
                <w:szCs w:val="24"/>
              </w:rPr>
              <w:t>根据成果创新性特点、水平和应用情况，写明推荐理由和结论性意见；加盖推荐单位公章。</w:t>
            </w:r>
          </w:p>
          <w:p w14:paraId="34B322AF">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shd w:val="clear" w:fill="FFFFFF"/>
              </w:rPr>
              <w:t>该成果面向健康中国国家战略与广西地方产业发展急需，立意高远，针对性强。经过扎实探索，成功构建了“三境工学交替·四岗育训协同”人才培养体系，有效破解了康养护理领域长期存在的产教融合不深、人才培养供需脱节等核心问题。成果理论创新突出，首创了“岗境融通、育训一体”的新理念；实践模式先进，“三境四岗”的一体化设计系统性强；运行机制有效，实现了校企双向赋能、共生共长。实践成效显著，人才培养质量高，服务产业贡献大，形成了可复制、可推广的“广西方案”，示范辐射效应广泛，在国内同类院校中处于领先水平。该成果是广西技工教育深化产教融合、服务地方产业的优秀典范，符合自治区级教学成果奖的评审标准。经审核，成果材料真实可靠，完成人及单位资格无误。</w:t>
            </w:r>
          </w:p>
          <w:p w14:paraId="2A4B2F56">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left="0" w:right="0" w:firstLine="480" w:firstLineChars="200"/>
              <w:textAlignment w:val="auto"/>
              <w:rPr>
                <w:rFonts w:hint="eastAsia" w:asciiTheme="minorEastAsia" w:hAnsiTheme="minorEastAsia" w:eastAsiaTheme="minorEastAsia" w:cstheme="minorEastAsia"/>
                <w:i w:val="0"/>
                <w:iCs w:val="0"/>
                <w:caps w:val="0"/>
                <w:color w:val="404040"/>
                <w:spacing w:val="0"/>
                <w:sz w:val="24"/>
                <w:szCs w:val="24"/>
              </w:rPr>
            </w:pPr>
            <w:r>
              <w:rPr>
                <w:rFonts w:hint="eastAsia" w:asciiTheme="minorEastAsia" w:hAnsiTheme="minorEastAsia" w:eastAsiaTheme="minorEastAsia" w:cstheme="minorEastAsia"/>
                <w:i w:val="0"/>
                <w:iCs w:val="0"/>
                <w:caps w:val="0"/>
                <w:color w:val="404040"/>
                <w:spacing w:val="0"/>
                <w:sz w:val="24"/>
                <w:szCs w:val="24"/>
                <w:shd w:val="clear" w:fill="FFFFFF"/>
                <w:lang w:val="en-US" w:eastAsia="zh-CN"/>
              </w:rPr>
              <w:t>同意</w:t>
            </w:r>
            <w:r>
              <w:rPr>
                <w:rFonts w:hint="eastAsia" w:asciiTheme="minorEastAsia" w:hAnsiTheme="minorEastAsia" w:eastAsiaTheme="minorEastAsia" w:cstheme="minorEastAsia"/>
                <w:i w:val="0"/>
                <w:iCs w:val="0"/>
                <w:caps w:val="0"/>
                <w:color w:val="404040"/>
                <w:spacing w:val="0"/>
                <w:sz w:val="24"/>
                <w:szCs w:val="24"/>
                <w:shd w:val="clear" w:fill="FFFFFF"/>
              </w:rPr>
              <w:t>推荐该成果参评2025年广西职业教育自治区级教学成果</w:t>
            </w:r>
            <w:r>
              <w:rPr>
                <w:rStyle w:val="7"/>
                <w:rFonts w:hint="eastAsia" w:asciiTheme="minorEastAsia" w:hAnsiTheme="minorEastAsia" w:eastAsiaTheme="minorEastAsia" w:cstheme="minorEastAsia"/>
                <w:b/>
                <w:bCs/>
                <w:i w:val="0"/>
                <w:iCs w:val="0"/>
                <w:caps w:val="0"/>
                <w:color w:val="404040"/>
                <w:spacing w:val="0"/>
                <w:sz w:val="24"/>
                <w:szCs w:val="24"/>
                <w:shd w:val="clear" w:fill="FFFFFF"/>
              </w:rPr>
              <w:t>奖</w:t>
            </w:r>
            <w:r>
              <w:rPr>
                <w:rFonts w:hint="eastAsia" w:asciiTheme="minorEastAsia" w:hAnsiTheme="minorEastAsia" w:eastAsiaTheme="minorEastAsia" w:cstheme="minorEastAsia"/>
                <w:i w:val="0"/>
                <w:iCs w:val="0"/>
                <w:caps w:val="0"/>
                <w:color w:val="404040"/>
                <w:spacing w:val="0"/>
                <w:sz w:val="24"/>
                <w:szCs w:val="24"/>
                <w:shd w:val="clear" w:fill="FFFFFF"/>
              </w:rPr>
              <w:t>。</w:t>
            </w:r>
          </w:p>
          <w:p w14:paraId="39E40D2C">
            <w:pPr>
              <w:pStyle w:val="4"/>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line="400" w:lineRule="exact"/>
              <w:ind w:left="0" w:right="0" w:firstLine="480" w:firstLineChars="200"/>
              <w:textAlignment w:val="auto"/>
              <w:rPr>
                <w:rFonts w:hint="eastAsia" w:ascii="宋体" w:hAnsi="宋体" w:eastAsia="宋体" w:cs="Times New Roman"/>
                <w:kern w:val="2"/>
                <w:sz w:val="24"/>
                <w:szCs w:val="24"/>
                <w:lang w:val="en-US" w:eastAsia="zh-CN" w:bidi="ar-SA"/>
              </w:rPr>
            </w:pPr>
          </w:p>
          <w:p w14:paraId="62DFB5B0">
            <w:pPr>
              <w:rPr>
                <w:rFonts w:ascii="宋体" w:hAnsi="宋体" w:eastAsia="宋体"/>
                <w:sz w:val="24"/>
                <w:szCs w:val="24"/>
              </w:rPr>
            </w:pPr>
            <w:r>
              <w:drawing>
                <wp:anchor distT="0" distB="0" distL="114300" distR="114300" simplePos="0" relativeHeight="251668480" behindDoc="0" locked="0" layoutInCell="1" allowOverlap="1">
                  <wp:simplePos x="0" y="0"/>
                  <wp:positionH relativeFrom="column">
                    <wp:posOffset>2710180</wp:posOffset>
                  </wp:positionH>
                  <wp:positionV relativeFrom="paragraph">
                    <wp:posOffset>153670</wp:posOffset>
                  </wp:positionV>
                  <wp:extent cx="1333500" cy="1333500"/>
                  <wp:effectExtent l="0" t="0" r="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1333500" cy="1333500"/>
                          </a:xfrm>
                          <a:prstGeom prst="rect">
                            <a:avLst/>
                          </a:prstGeom>
                          <a:noFill/>
                          <a:ln>
                            <a:noFill/>
                          </a:ln>
                        </pic:spPr>
                      </pic:pic>
                    </a:graphicData>
                  </a:graphic>
                </wp:anchor>
              </w:drawing>
            </w:r>
          </w:p>
          <w:p w14:paraId="1C3524E7">
            <w:pPr>
              <w:rPr>
                <w:rFonts w:ascii="宋体" w:hAnsi="宋体" w:eastAsia="宋体"/>
                <w:sz w:val="24"/>
                <w:szCs w:val="24"/>
              </w:rPr>
            </w:pPr>
          </w:p>
          <w:p w14:paraId="3D393868">
            <w:pPr>
              <w:rPr>
                <w:rFonts w:ascii="宋体" w:hAnsi="宋体" w:eastAsia="宋体"/>
                <w:sz w:val="24"/>
                <w:szCs w:val="24"/>
              </w:rPr>
            </w:pPr>
          </w:p>
          <w:p w14:paraId="3D1A3E8A">
            <w:pPr>
              <w:rPr>
                <w:rFonts w:hint="eastAsia" w:ascii="宋体" w:hAnsi="宋体" w:eastAsia="宋体"/>
                <w:sz w:val="24"/>
                <w:szCs w:val="24"/>
              </w:rPr>
            </w:pPr>
          </w:p>
          <w:p w14:paraId="59903BA1">
            <w:pPr>
              <w:ind w:firstLine="3840" w:firstLineChars="1600"/>
              <w:rPr>
                <w:rFonts w:hint="eastAsia" w:ascii="宋体" w:hAnsi="宋体" w:eastAsia="宋体"/>
                <w:sz w:val="24"/>
                <w:szCs w:val="24"/>
                <w:lang w:eastAsia="zh-CN"/>
              </w:rPr>
            </w:pPr>
            <w:r>
              <w:rPr>
                <w:rFonts w:hint="eastAsia" w:ascii="宋体" w:hAnsi="宋体" w:eastAsia="宋体"/>
                <w:sz w:val="24"/>
                <w:szCs w:val="24"/>
              </w:rPr>
              <w:t>推荐单位公章</w:t>
            </w:r>
            <w:r>
              <w:drawing>
                <wp:anchor distT="0" distB="0" distL="114300" distR="114300" simplePos="0" relativeHeight="251670528" behindDoc="0" locked="0" layoutInCell="1" allowOverlap="1">
                  <wp:simplePos x="0" y="0"/>
                  <wp:positionH relativeFrom="column">
                    <wp:posOffset>4293235</wp:posOffset>
                  </wp:positionH>
                  <wp:positionV relativeFrom="paragraph">
                    <wp:posOffset>6057900</wp:posOffset>
                  </wp:positionV>
                  <wp:extent cx="1331595" cy="1331595"/>
                  <wp:effectExtent l="0" t="0" r="1905" b="1905"/>
                  <wp:wrapNone/>
                  <wp:docPr id="14" name="IM 2"/>
                  <wp:cNvGraphicFramePr/>
                  <a:graphic xmlns:a="http://schemas.openxmlformats.org/drawingml/2006/main">
                    <a:graphicData uri="http://schemas.openxmlformats.org/drawingml/2006/picture">
                      <pic:pic xmlns:pic="http://schemas.openxmlformats.org/drawingml/2006/picture">
                        <pic:nvPicPr>
                          <pic:cNvPr id="14" name="IM 2"/>
                          <pic:cNvPicPr/>
                        </pic:nvPicPr>
                        <pic:blipFill>
                          <a:blip r:embed="rId14"/>
                          <a:stretch>
                            <a:fillRect/>
                          </a:stretch>
                        </pic:blipFill>
                        <pic:spPr>
                          <a:xfrm>
                            <a:off x="0" y="0"/>
                            <a:ext cx="1331595" cy="1331595"/>
                          </a:xfrm>
                          <a:prstGeom prst="rect">
                            <a:avLst/>
                          </a:prstGeom>
                          <a:noFill/>
                          <a:ln>
                            <a:noFill/>
                          </a:ln>
                        </pic:spPr>
                      </pic:pic>
                    </a:graphicData>
                  </a:graphic>
                </wp:anchor>
              </w:drawing>
            </w:r>
          </w:p>
          <w:p w14:paraId="4F5F3CCA">
            <w:pPr>
              <w:rPr>
                <w:rFonts w:hint="eastAsia" w:ascii="宋体" w:hAnsi="宋体" w:eastAsia="宋体"/>
                <w:sz w:val="24"/>
                <w:szCs w:val="24"/>
              </w:rPr>
            </w:pPr>
          </w:p>
          <w:p w14:paraId="75CA130A">
            <w:pPr>
              <w:ind w:firstLine="4320" w:firstLineChars="1800"/>
              <w:rPr>
                <w:rFonts w:hint="eastAsia" w:ascii="宋体" w:hAnsi="宋体" w:eastAsia="宋体"/>
                <w:sz w:val="24"/>
                <w:szCs w:val="24"/>
              </w:rPr>
            </w:pPr>
            <w:r>
              <w:rPr>
                <w:rFonts w:hint="eastAsia" w:ascii="宋体" w:hAnsi="宋体" w:eastAsia="宋体"/>
                <w:sz w:val="24"/>
                <w:szCs w:val="24"/>
                <w:lang w:val="en-US" w:eastAsia="zh-CN"/>
              </w:rPr>
              <w:t>2025</w:t>
            </w:r>
            <w:r>
              <w:rPr>
                <w:rFonts w:hint="eastAsia" w:ascii="宋体" w:hAnsi="宋体" w:eastAsia="宋体"/>
                <w:sz w:val="24"/>
                <w:szCs w:val="24"/>
              </w:rPr>
              <w:t>年</w:t>
            </w:r>
            <w:r>
              <w:rPr>
                <w:rFonts w:hint="eastAsia" w:ascii="宋体" w:hAnsi="宋体" w:eastAsia="宋体"/>
                <w:sz w:val="24"/>
                <w:szCs w:val="24"/>
                <w:lang w:val="en-US" w:eastAsia="zh-CN"/>
              </w:rPr>
              <w:t>9</w:t>
            </w:r>
            <w:r>
              <w:rPr>
                <w:rFonts w:hint="eastAsia" w:ascii="宋体" w:hAnsi="宋体" w:eastAsia="宋体"/>
                <w:sz w:val="24"/>
                <w:szCs w:val="24"/>
              </w:rPr>
              <w:t>月</w:t>
            </w:r>
            <w:r>
              <w:rPr>
                <w:rFonts w:hint="eastAsia" w:ascii="宋体" w:hAnsi="宋体" w:eastAsia="宋体"/>
                <w:sz w:val="24"/>
                <w:szCs w:val="24"/>
                <w:lang w:val="en-US" w:eastAsia="zh-CN"/>
              </w:rPr>
              <w:t>1</w:t>
            </w:r>
            <w:r>
              <w:rPr>
                <w:rFonts w:hint="eastAsia" w:ascii="宋体" w:hAnsi="宋体" w:eastAsia="宋体"/>
                <w:sz w:val="24"/>
                <w:szCs w:val="24"/>
              </w:rPr>
              <w:t>日</w:t>
            </w:r>
          </w:p>
          <w:p w14:paraId="22959051">
            <w:pPr>
              <w:ind w:left="4779"/>
              <w:rPr>
                <w:rFonts w:hint="eastAsia" w:ascii="宋体" w:hAnsi="宋体" w:eastAsia="宋体"/>
                <w:sz w:val="24"/>
                <w:szCs w:val="24"/>
              </w:rPr>
            </w:pPr>
          </w:p>
        </w:tc>
      </w:tr>
    </w:tbl>
    <w:p w14:paraId="7BB8113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EE6BB6"/>
    <w:rsid w:val="049337A2"/>
    <w:rsid w:val="097B6647"/>
    <w:rsid w:val="09FC7A47"/>
    <w:rsid w:val="0A821B81"/>
    <w:rsid w:val="0A922905"/>
    <w:rsid w:val="0AA145DD"/>
    <w:rsid w:val="0AE75B3C"/>
    <w:rsid w:val="0BBD2551"/>
    <w:rsid w:val="0BC56FFF"/>
    <w:rsid w:val="10476743"/>
    <w:rsid w:val="114F4ABB"/>
    <w:rsid w:val="121B0181"/>
    <w:rsid w:val="12B9177C"/>
    <w:rsid w:val="159850DF"/>
    <w:rsid w:val="17AA1AB0"/>
    <w:rsid w:val="1A3C4302"/>
    <w:rsid w:val="1FDE2C12"/>
    <w:rsid w:val="21F80E0A"/>
    <w:rsid w:val="28D21BFB"/>
    <w:rsid w:val="2B747AC2"/>
    <w:rsid w:val="31310CF3"/>
    <w:rsid w:val="32862630"/>
    <w:rsid w:val="35482FFD"/>
    <w:rsid w:val="38E10DC6"/>
    <w:rsid w:val="38F25679"/>
    <w:rsid w:val="3A2B6C75"/>
    <w:rsid w:val="3BB5736E"/>
    <w:rsid w:val="3CD44927"/>
    <w:rsid w:val="40C6513E"/>
    <w:rsid w:val="412C1A2D"/>
    <w:rsid w:val="42786C08"/>
    <w:rsid w:val="46205483"/>
    <w:rsid w:val="491F09B0"/>
    <w:rsid w:val="4B3027E9"/>
    <w:rsid w:val="51F316EB"/>
    <w:rsid w:val="523A12EF"/>
    <w:rsid w:val="523B5D37"/>
    <w:rsid w:val="53174839"/>
    <w:rsid w:val="53385622"/>
    <w:rsid w:val="55E64236"/>
    <w:rsid w:val="58A12453"/>
    <w:rsid w:val="5E3F4736"/>
    <w:rsid w:val="600772B4"/>
    <w:rsid w:val="64973816"/>
    <w:rsid w:val="65CD73C6"/>
    <w:rsid w:val="67763DA0"/>
    <w:rsid w:val="69362956"/>
    <w:rsid w:val="6D4F3A30"/>
    <w:rsid w:val="734B4C23"/>
    <w:rsid w:val="74A00FE8"/>
    <w:rsid w:val="75A11C12"/>
    <w:rsid w:val="774B2161"/>
    <w:rsid w:val="776058BF"/>
    <w:rsid w:val="7EFE3D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32"/>
      <w:szCs w:val="22"/>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8515</Words>
  <Characters>8853</Characters>
  <Lines>0</Lines>
  <Paragraphs>0</Paragraphs>
  <TotalTime>22</TotalTime>
  <ScaleCrop>false</ScaleCrop>
  <LinksUpToDate>false</LinksUpToDate>
  <CharactersWithSpaces>8911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2025-07-15T07:31:00Z</dcterms:created>
  <dc:creator>陈建霞</dc:creator>
  <cp:lastModifiedBy>剑侠</cp:lastModifiedBy>
  <dcterms:modified xsi:type="dcterms:W3CDTF">2026-06-29T08:14:12Z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eyJoZGlkIjoiNjg1Y2UyZTI0NzQ0NDQxMGUyMzE4NGY1YzQwODQ1MDEiLCJ1c2VySWQiOiI4NzA3MTk2MjgifQ==</vt:lpwstr>
  </property>
  <property fmtid="{D5CDD505-2E9C-101B-9397-08002B2CF9AE}" pid="4" name="ICV">
    <vt:lpwstr>0CF4028D30E24CD88DFE6BB6FCDE7B0D_13</vt:lpwstr>
  </property>
</Properties>
</file>