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360" w:lineRule="auto"/>
      </w:pPr>
    </w:p>
    <w:p>
      <w:pPr>
        <w:pStyle w:val="35"/>
        <w:spacing w:line="264" w:lineRule="auto"/>
        <w:ind w:firstLine="562"/>
        <w:jc w:val="center"/>
        <w:rPr>
          <w:rFonts w:eastAsia="黑体"/>
          <w:b/>
          <w:bCs/>
          <w:sz w:val="56"/>
          <w:szCs w:val="56"/>
        </w:rPr>
      </w:pPr>
    </w:p>
    <w:p>
      <w:pPr>
        <w:spacing w:line="360" w:lineRule="auto"/>
        <w:jc w:val="center"/>
        <w:rPr>
          <w:rFonts w:eastAsia="华文新魏"/>
          <w:b/>
          <w:bCs/>
          <w:spacing w:val="20"/>
          <w:kern w:val="10"/>
          <w:sz w:val="72"/>
          <w:szCs w:val="72"/>
        </w:rPr>
      </w:pPr>
      <w:r>
        <w:rPr>
          <w:rFonts w:hint="eastAsia" w:eastAsia="华文新魏" w:cs="华文新魏"/>
          <w:b/>
          <w:bCs/>
          <w:spacing w:val="20"/>
          <w:kern w:val="10"/>
          <w:sz w:val="72"/>
          <w:szCs w:val="72"/>
        </w:rPr>
        <w:t>广西南宁技师学院</w:t>
      </w:r>
    </w:p>
    <w:p>
      <w:pPr>
        <w:spacing w:line="360" w:lineRule="auto"/>
        <w:jc w:val="center"/>
        <w:rPr>
          <w:rFonts w:ascii="华文新魏" w:hAnsi="Times New Roman" w:eastAsia="华文新魏" w:cs="华文新魏"/>
          <w:b/>
          <w:bCs/>
          <w:spacing w:val="20"/>
          <w:kern w:val="10"/>
          <w:sz w:val="36"/>
          <w:szCs w:val="36"/>
        </w:rPr>
      </w:pPr>
    </w:p>
    <w:p>
      <w:pPr>
        <w:spacing w:line="360" w:lineRule="auto"/>
        <w:jc w:val="center"/>
        <w:rPr>
          <w:rFonts w:ascii="华文新魏" w:hAnsi="Times New Roman" w:eastAsia="华文新魏" w:cs="华文新魏"/>
          <w:b/>
          <w:bCs/>
          <w:spacing w:val="20"/>
          <w:kern w:val="10"/>
          <w:sz w:val="36"/>
          <w:szCs w:val="36"/>
          <w:highlight w:val="yellow"/>
        </w:rPr>
      </w:pPr>
      <w:r>
        <w:rPr>
          <w:rFonts w:hint="eastAsia" w:ascii="华文新魏" w:hAnsi="Times New Roman" w:eastAsia="华文新魏" w:cs="华文新魏"/>
          <w:b/>
          <w:bCs/>
          <w:spacing w:val="20"/>
          <w:kern w:val="10"/>
          <w:sz w:val="36"/>
          <w:szCs w:val="36"/>
          <w:highlight w:val="none"/>
          <w:lang w:val="en-US" w:eastAsia="zh-CN"/>
        </w:rPr>
        <w:t>《医药市场营销</w:t>
      </w:r>
      <w:r>
        <w:rPr>
          <w:rFonts w:hint="eastAsia" w:ascii="华文新魏" w:hAnsi="Times New Roman" w:eastAsia="华文新魏" w:cs="华文新魏"/>
          <w:b/>
          <w:bCs/>
          <w:spacing w:val="20"/>
          <w:kern w:val="10"/>
          <w:sz w:val="36"/>
          <w:szCs w:val="36"/>
          <w:highlight w:val="none"/>
          <w:lang w:eastAsia="zh-CN"/>
        </w:rPr>
        <w:t>》</w:t>
      </w:r>
      <w:r>
        <w:rPr>
          <w:rFonts w:hint="eastAsia" w:ascii="华文新魏" w:hAnsi="Times New Roman" w:eastAsia="华文新魏" w:cs="华文新魏"/>
          <w:b/>
          <w:bCs/>
          <w:spacing w:val="20"/>
          <w:kern w:val="10"/>
          <w:sz w:val="36"/>
          <w:szCs w:val="36"/>
          <w:highlight w:val="none"/>
          <w:lang w:val="en-US" w:eastAsia="zh-CN"/>
        </w:rPr>
        <w:t>优质课程教学资源开发与升级</w:t>
      </w:r>
    </w:p>
    <w:p>
      <w:pPr>
        <w:spacing w:line="360" w:lineRule="auto"/>
        <w:jc w:val="center"/>
        <w:rPr>
          <w:rFonts w:ascii="华文新魏" w:hAnsi="Times New Roman" w:eastAsia="华文新魏" w:cs="华文新魏"/>
          <w:b/>
          <w:bCs/>
          <w:spacing w:val="20"/>
          <w:kern w:val="10"/>
          <w:sz w:val="36"/>
          <w:szCs w:val="36"/>
        </w:rPr>
      </w:pPr>
      <w:bookmarkStart w:id="0" w:name="OLE_LINK2"/>
    </w:p>
    <w:p>
      <w:pPr>
        <w:spacing w:line="360" w:lineRule="auto"/>
        <w:jc w:val="center"/>
        <w:rPr>
          <w:rFonts w:hint="eastAsia" w:ascii="华文新魏" w:hAnsi="Times New Roman" w:eastAsia="宋体"/>
          <w:bCs/>
          <w:color w:val="000000" w:themeColor="text1"/>
          <w:spacing w:val="20"/>
          <w:kern w:val="10"/>
          <w:sz w:val="36"/>
          <w:szCs w:val="36"/>
          <w:highlight w:val="yellow"/>
          <w:u w:val="single"/>
          <w:lang w:val="en-US" w:eastAsia="zh-CN"/>
          <w14:textFill>
            <w14:solidFill>
              <w14:schemeClr w14:val="tx1"/>
            </w14:solidFill>
          </w14:textFill>
        </w:rPr>
      </w:pPr>
      <w:r>
        <w:rPr>
          <w:rFonts w:hint="eastAsia" w:ascii="华文新魏" w:hAnsi="Times New Roman" w:eastAsia="华文新魏" w:cs="华文新魏"/>
          <w:b/>
          <w:bCs/>
          <w:spacing w:val="20"/>
          <w:kern w:val="10"/>
          <w:sz w:val="36"/>
          <w:szCs w:val="36"/>
        </w:rPr>
        <w:t>项目编号：GXNNJSXY202600</w:t>
      </w:r>
      <w:r>
        <w:rPr>
          <w:rFonts w:hint="eastAsia" w:ascii="华文新魏" w:hAnsi="Times New Roman" w:eastAsia="华文新魏" w:cs="华文新魏"/>
          <w:b/>
          <w:bCs/>
          <w:spacing w:val="20"/>
          <w:kern w:val="10"/>
          <w:sz w:val="36"/>
          <w:szCs w:val="36"/>
          <w:lang w:val="en-US" w:eastAsia="zh-CN"/>
        </w:rPr>
        <w:t>8YY</w:t>
      </w:r>
      <w:r>
        <w:rPr>
          <w:rFonts w:hint="eastAsia" w:ascii="华文新魏" w:hAnsi="Times New Roman" w:eastAsia="华文新魏" w:cs="华文新魏"/>
          <w:b/>
          <w:bCs/>
          <w:spacing w:val="20"/>
          <w:kern w:val="10"/>
          <w:sz w:val="36"/>
          <w:szCs w:val="36"/>
        </w:rPr>
        <w:t>01</w:t>
      </w:r>
      <w:r>
        <w:rPr>
          <w:rFonts w:hint="eastAsia" w:ascii="华文新魏" w:hAnsi="Times New Roman" w:eastAsia="华文新魏" w:cs="华文新魏"/>
          <w:b/>
          <w:bCs/>
          <w:spacing w:val="20"/>
          <w:kern w:val="10"/>
          <w:sz w:val="36"/>
          <w:szCs w:val="36"/>
          <w:lang w:val="en-US" w:eastAsia="zh-CN"/>
        </w:rPr>
        <w:t>C</w:t>
      </w:r>
    </w:p>
    <w:bookmarkEnd w:id="0"/>
    <w:p>
      <w:pPr>
        <w:pStyle w:val="35"/>
        <w:ind w:firstLine="0" w:firstLineChars="0"/>
        <w:rPr>
          <w:sz w:val="36"/>
          <w:szCs w:val="36"/>
        </w:rPr>
      </w:pPr>
      <w:r>
        <w:rPr>
          <w:rFonts w:hint="eastAsia"/>
          <w:sz w:val="36"/>
          <w:szCs w:val="36"/>
        </w:rPr>
        <w:t xml:space="preserve"> </w:t>
      </w:r>
    </w:p>
    <w:p>
      <w:pPr>
        <w:pStyle w:val="35"/>
        <w:ind w:firstLine="210"/>
      </w:pPr>
    </w:p>
    <w:p>
      <w:pPr>
        <w:spacing w:line="360" w:lineRule="auto"/>
        <w:jc w:val="center"/>
        <w:rPr>
          <w:rFonts w:eastAsia="华文新魏"/>
          <w:b/>
          <w:bCs/>
          <w:spacing w:val="20"/>
          <w:kern w:val="10"/>
          <w:sz w:val="72"/>
          <w:szCs w:val="72"/>
        </w:rPr>
      </w:pPr>
      <w:r>
        <w:rPr>
          <w:rFonts w:hint="eastAsia" w:eastAsia="华文新魏" w:cs="华文新魏"/>
          <w:b/>
          <w:bCs/>
          <w:spacing w:val="20"/>
          <w:kern w:val="10"/>
          <w:sz w:val="72"/>
          <w:szCs w:val="72"/>
        </w:rPr>
        <w:t>询价文件</w:t>
      </w:r>
    </w:p>
    <w:p>
      <w:r>
        <w:t xml:space="preserve">  </w:t>
      </w: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spacing w:line="800" w:lineRule="exact"/>
        <w:jc w:val="center"/>
        <w:rPr>
          <w:rFonts w:eastAsia="黑体"/>
          <w:sz w:val="20"/>
          <w:szCs w:val="20"/>
        </w:rPr>
      </w:pPr>
      <w:r>
        <w:rPr>
          <w:rFonts w:hint="eastAsia" w:eastAsia="黑体" w:cs="黑体"/>
          <w:sz w:val="36"/>
          <w:szCs w:val="36"/>
        </w:rPr>
        <w:t>采购单位：广西南宁技师学院</w:t>
      </w:r>
    </w:p>
    <w:p>
      <w:pPr>
        <w:spacing w:line="800" w:lineRule="exact"/>
        <w:jc w:val="center"/>
        <w:rPr>
          <w:rFonts w:eastAsia="黑体"/>
          <w:sz w:val="40"/>
          <w:szCs w:val="40"/>
        </w:rPr>
      </w:pPr>
      <w:r>
        <w:rPr>
          <w:rFonts w:eastAsia="黑体"/>
          <w:sz w:val="40"/>
          <w:szCs w:val="40"/>
        </w:rPr>
        <w:t>202</w:t>
      </w:r>
      <w:r>
        <w:rPr>
          <w:rFonts w:hint="eastAsia" w:eastAsia="黑体"/>
          <w:sz w:val="40"/>
          <w:szCs w:val="40"/>
          <w:lang w:val="en-US" w:eastAsia="zh-CN"/>
        </w:rPr>
        <w:t>6</w:t>
      </w:r>
      <w:r>
        <w:rPr>
          <w:rFonts w:hint="eastAsia" w:eastAsia="黑体" w:cs="黑体"/>
          <w:sz w:val="40"/>
          <w:szCs w:val="40"/>
        </w:rPr>
        <w:t xml:space="preserve">年 </w:t>
      </w:r>
      <w:r>
        <w:rPr>
          <w:rFonts w:hint="eastAsia" w:eastAsia="黑体" w:cs="黑体"/>
          <w:sz w:val="40"/>
          <w:szCs w:val="40"/>
          <w:lang w:val="en-US" w:eastAsia="zh-CN"/>
        </w:rPr>
        <w:t>7</w:t>
      </w:r>
      <w:r>
        <w:rPr>
          <w:rFonts w:hint="eastAsia" w:eastAsia="黑体" w:cs="黑体"/>
          <w:sz w:val="40"/>
          <w:szCs w:val="40"/>
        </w:rPr>
        <w:t xml:space="preserve"> 月</w:t>
      </w:r>
    </w:p>
    <w:p>
      <w:pPr>
        <w:rPr>
          <w:rFonts w:ascii="黑体" w:hAnsi="宋体" w:eastAsia="黑体"/>
          <w:color w:val="FF0000"/>
          <w:sz w:val="30"/>
          <w:szCs w:val="30"/>
          <w:u w:val="single"/>
        </w:rPr>
        <w:sectPr>
          <w:headerReference r:id="rId4" w:type="first"/>
          <w:footerReference r:id="rId6" w:type="first"/>
          <w:headerReference r:id="rId3" w:type="default"/>
          <w:footerReference r:id="rId5" w:type="default"/>
          <w:pgSz w:w="11906" w:h="16838"/>
          <w:pgMar w:top="1135" w:right="1135" w:bottom="1135" w:left="1135" w:header="851" w:footer="1" w:gutter="0"/>
          <w:pgNumType w:start="0"/>
          <w:cols w:space="720" w:num="1"/>
          <w:titlePg/>
          <w:docGrid w:type="lines" w:linePitch="312" w:charSpace="0"/>
        </w:sectPr>
      </w:pPr>
      <w:r>
        <w:rPr>
          <w:rFonts w:hint="eastAsia" w:ascii="黑体" w:hAnsi="宋体" w:eastAsia="黑体"/>
          <w:color w:val="FF0000"/>
          <w:sz w:val="30"/>
          <w:szCs w:val="30"/>
          <w:u w:val="single"/>
        </w:rPr>
        <w:t xml:space="preserve"> </w:t>
      </w:r>
      <w:r>
        <w:rPr>
          <w:rFonts w:ascii="黑体" w:hAnsi="宋体" w:eastAsia="黑体"/>
          <w:color w:val="FF0000"/>
          <w:sz w:val="30"/>
          <w:szCs w:val="30"/>
          <w:u w:val="single"/>
        </w:rPr>
        <w:t xml:space="preserve"> </w:t>
      </w:r>
    </w:p>
    <w:p>
      <w:pPr>
        <w:jc w:val="center"/>
        <w:rPr>
          <w:rFonts w:ascii="黑体" w:eastAsia="黑体"/>
          <w:b/>
          <w:bCs/>
          <w:sz w:val="40"/>
          <w:szCs w:val="40"/>
        </w:rPr>
      </w:pPr>
      <w:r>
        <w:rPr>
          <w:rFonts w:hint="eastAsia" w:ascii="黑体" w:eastAsia="黑体" w:cs="黑体"/>
          <w:b/>
          <w:bCs/>
          <w:sz w:val="40"/>
          <w:szCs w:val="40"/>
        </w:rPr>
        <w:t>目　录</w:t>
      </w:r>
    </w:p>
    <w:p>
      <w:pPr>
        <w:pStyle w:val="24"/>
        <w:tabs>
          <w:tab w:val="right" w:leader="dot" w:pos="8306"/>
          <w:tab w:val="clear" w:pos="8299"/>
        </w:tabs>
        <w:spacing w:line="480" w:lineRule="auto"/>
        <w:rPr>
          <w:sz w:val="28"/>
          <w:szCs w:val="28"/>
        </w:rPr>
      </w:pPr>
      <w:r>
        <w:rPr>
          <w:sz w:val="28"/>
          <w:szCs w:val="28"/>
        </w:rPr>
        <w:fldChar w:fldCharType="begin"/>
      </w:r>
      <w:r>
        <w:rPr>
          <w:sz w:val="28"/>
          <w:szCs w:val="28"/>
        </w:rPr>
        <w:instrText xml:space="preserve">TOC \o "1-1" \h \u </w:instrText>
      </w:r>
      <w:r>
        <w:rPr>
          <w:sz w:val="28"/>
          <w:szCs w:val="28"/>
        </w:rPr>
        <w:fldChar w:fldCharType="separate"/>
      </w:r>
      <w:r>
        <w:fldChar w:fldCharType="begin"/>
      </w:r>
      <w:r>
        <w:instrText xml:space="preserve"> HYPERLINK \l "_Toc22334" </w:instrText>
      </w:r>
      <w:r>
        <w:fldChar w:fldCharType="separate"/>
      </w:r>
      <w:r>
        <w:rPr>
          <w:rFonts w:hint="eastAsia"/>
          <w:sz w:val="28"/>
          <w:szCs w:val="28"/>
        </w:rPr>
        <w:t>第一章</w:t>
      </w:r>
      <w:r>
        <w:rPr>
          <w:sz w:val="28"/>
          <w:szCs w:val="28"/>
        </w:rPr>
        <w:t xml:space="preserve">  </w:t>
      </w:r>
      <w:r>
        <w:rPr>
          <w:rFonts w:hint="eastAsia"/>
          <w:sz w:val="28"/>
          <w:szCs w:val="28"/>
        </w:rPr>
        <w:t>询价公告</w:t>
      </w:r>
      <w:r>
        <w:rPr>
          <w:sz w:val="28"/>
          <w:szCs w:val="28"/>
        </w:rPr>
        <w:tab/>
      </w:r>
      <w:r>
        <w:rPr>
          <w:sz w:val="28"/>
          <w:szCs w:val="28"/>
        </w:rPr>
        <w:fldChar w:fldCharType="begin"/>
      </w:r>
      <w:r>
        <w:rPr>
          <w:sz w:val="28"/>
          <w:szCs w:val="28"/>
        </w:rPr>
        <w:instrText xml:space="preserve"> PAGEREF _Toc22334 \h </w:instrText>
      </w:r>
      <w:r>
        <w:rPr>
          <w:sz w:val="28"/>
          <w:szCs w:val="28"/>
        </w:rPr>
        <w:fldChar w:fldCharType="separate"/>
      </w:r>
      <w:r>
        <w:rPr>
          <w:sz w:val="28"/>
          <w:szCs w:val="28"/>
        </w:rPr>
        <w:t>2</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"_Toc10615" </w:instrText>
      </w:r>
      <w:r>
        <w:fldChar w:fldCharType="separate"/>
      </w:r>
      <w:r>
        <w:rPr>
          <w:rFonts w:hint="eastAsia"/>
          <w:sz w:val="28"/>
          <w:szCs w:val="28"/>
        </w:rPr>
        <w:t>第二章　采购需求书</w:t>
      </w:r>
      <w:r>
        <w:rPr>
          <w:sz w:val="28"/>
          <w:szCs w:val="28"/>
        </w:rPr>
        <w:tab/>
      </w:r>
      <w:r>
        <w:rPr>
          <w:sz w:val="28"/>
          <w:szCs w:val="28"/>
        </w:rPr>
        <w:fldChar w:fldCharType="begin"/>
      </w:r>
      <w:r>
        <w:rPr>
          <w:sz w:val="28"/>
          <w:szCs w:val="28"/>
        </w:rPr>
        <w:instrText xml:space="preserve"> PAGEREF _Toc10615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"_Toc31253" </w:instrText>
      </w:r>
      <w:r>
        <w:fldChar w:fldCharType="separate"/>
      </w:r>
      <w:r>
        <w:rPr>
          <w:rFonts w:hint="eastAsia"/>
          <w:sz w:val="28"/>
          <w:szCs w:val="28"/>
        </w:rPr>
        <w:t>第三章 询价须知</w:t>
      </w:r>
      <w:r>
        <w:rPr>
          <w:sz w:val="28"/>
          <w:szCs w:val="28"/>
        </w:rPr>
        <w:tab/>
      </w:r>
      <w:r>
        <w:rPr>
          <w:sz w:val="28"/>
          <w:szCs w:val="28"/>
        </w:rPr>
        <w:fldChar w:fldCharType="begin"/>
      </w:r>
      <w:r>
        <w:rPr>
          <w:sz w:val="28"/>
          <w:szCs w:val="28"/>
        </w:rPr>
        <w:instrText xml:space="preserve"> PAGEREF _Toc31253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"_Toc4423" </w:instrText>
      </w:r>
      <w:r>
        <w:fldChar w:fldCharType="separate"/>
      </w:r>
      <w:r>
        <w:rPr>
          <w:rFonts w:hint="eastAsia"/>
          <w:sz w:val="28"/>
          <w:szCs w:val="28"/>
        </w:rPr>
        <w:t>第四章 合同格式</w:t>
      </w:r>
      <w:r>
        <w:rPr>
          <w:sz w:val="28"/>
          <w:szCs w:val="28"/>
        </w:rPr>
        <w:tab/>
      </w:r>
      <w:r>
        <w:rPr>
          <w:sz w:val="28"/>
          <w:szCs w:val="28"/>
        </w:rPr>
        <w:fldChar w:fldCharType="begin"/>
      </w:r>
      <w:r>
        <w:rPr>
          <w:sz w:val="28"/>
          <w:szCs w:val="28"/>
        </w:rPr>
        <w:instrText xml:space="preserve"> PAGEREF _Toc4423 \h </w:instrText>
      </w:r>
      <w:r>
        <w:rPr>
          <w:sz w:val="28"/>
          <w:szCs w:val="28"/>
        </w:rPr>
        <w:fldChar w:fldCharType="separate"/>
      </w:r>
      <w:r>
        <w:rPr>
          <w:sz w:val="28"/>
          <w:szCs w:val="28"/>
        </w:rPr>
        <w:t>25</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"_Toc30130" </w:instrText>
      </w:r>
      <w:r>
        <w:fldChar w:fldCharType="separate"/>
      </w:r>
      <w:r>
        <w:rPr>
          <w:rFonts w:hint="eastAsia"/>
          <w:sz w:val="28"/>
          <w:szCs w:val="28"/>
        </w:rPr>
        <w:t>第五章 响应文件格式</w:t>
      </w:r>
      <w:r>
        <w:rPr>
          <w:sz w:val="28"/>
          <w:szCs w:val="28"/>
        </w:rPr>
        <w:tab/>
      </w:r>
      <w:r>
        <w:rPr>
          <w:sz w:val="28"/>
          <w:szCs w:val="28"/>
        </w:rPr>
        <w:fldChar w:fldCharType="begin"/>
      </w:r>
      <w:r>
        <w:rPr>
          <w:sz w:val="28"/>
          <w:szCs w:val="28"/>
        </w:rPr>
        <w:instrText xml:space="preserve"> PAGEREF _Toc30130 \h </w:instrText>
      </w:r>
      <w:r>
        <w:rPr>
          <w:sz w:val="28"/>
          <w:szCs w:val="28"/>
        </w:rPr>
        <w:fldChar w:fldCharType="separate"/>
      </w:r>
      <w:r>
        <w:rPr>
          <w:sz w:val="28"/>
          <w:szCs w:val="28"/>
        </w:rPr>
        <w:t>32</w:t>
      </w:r>
      <w:r>
        <w:rPr>
          <w:sz w:val="28"/>
          <w:szCs w:val="28"/>
        </w:rPr>
        <w:fldChar w:fldCharType="end"/>
      </w:r>
      <w:r>
        <w:rPr>
          <w:sz w:val="28"/>
          <w:szCs w:val="28"/>
        </w:rPr>
        <w:fldChar w:fldCharType="end"/>
      </w:r>
    </w:p>
    <w:p>
      <w:pPr>
        <w:pStyle w:val="35"/>
        <w:spacing w:line="480" w:lineRule="auto"/>
        <w:ind w:firstLine="560" w:firstLineChars="200"/>
        <w:jc w:val="left"/>
        <w:rPr>
          <w:rFonts w:ascii="宋体" w:hAnsi="宋体"/>
          <w:sz w:val="36"/>
          <w:szCs w:val="36"/>
        </w:rPr>
      </w:pPr>
      <w:r>
        <w:rPr>
          <w:rFonts w:ascii="宋体" w:hAnsi="宋体"/>
          <w:sz w:val="28"/>
          <w:szCs w:val="28"/>
        </w:rPr>
        <w:fldChar w:fldCharType="end"/>
      </w:r>
    </w:p>
    <w:p>
      <w:pPr>
        <w:pStyle w:val="35"/>
        <w:ind w:firstLine="0" w:firstLineChars="0"/>
        <w:jc w:val="left"/>
        <w:rPr>
          <w:rFonts w:ascii="宋体" w:hAnsi="宋体"/>
          <w:sz w:val="28"/>
          <w:szCs w:val="28"/>
        </w:rPr>
      </w:pPr>
      <w:r>
        <w:rPr>
          <w:rFonts w:ascii="宋体" w:hAnsi="宋体"/>
          <w:sz w:val="28"/>
          <w:szCs w:val="28"/>
        </w:rPr>
        <w:br w:type="column"/>
      </w:r>
    </w:p>
    <w:p>
      <w:pPr>
        <w:pStyle w:val="3"/>
        <w:jc w:val="center"/>
        <w:rPr>
          <w:rFonts w:ascii="宋体" w:hAnsi="宋体" w:cs="宋体"/>
          <w:kern w:val="28"/>
          <w:sz w:val="36"/>
          <w:szCs w:val="36"/>
        </w:rPr>
      </w:pPr>
      <w:bookmarkStart w:id="1" w:name="_Toc22334"/>
      <w:r>
        <w:rPr>
          <w:rFonts w:hint="eastAsia"/>
          <w:sz w:val="36"/>
          <w:szCs w:val="36"/>
        </w:rPr>
        <w:t>第一章</w:t>
      </w:r>
      <w:r>
        <w:rPr>
          <w:sz w:val="36"/>
          <w:szCs w:val="36"/>
        </w:rPr>
        <w:t xml:space="preserve">  </w:t>
      </w:r>
      <w:r>
        <w:rPr>
          <w:rFonts w:hint="eastAsia"/>
          <w:sz w:val="36"/>
          <w:szCs w:val="36"/>
        </w:rPr>
        <w:t>询价公告</w:t>
      </w:r>
      <w:bookmarkEnd w:id="1"/>
    </w:p>
    <w:p>
      <w:pPr>
        <w:ind w:firstLine="420" w:firstLineChars="200"/>
        <w:rPr>
          <w:rFonts w:ascii="宋体" w:hAnsi="宋体" w:cs="宋体"/>
          <w:kern w:val="28"/>
        </w:rPr>
      </w:pPr>
      <w:r>
        <w:rPr>
          <w:rFonts w:hint="eastAsia" w:ascii="宋体" w:hAnsi="宋体" w:cs="宋体"/>
          <w:kern w:val="28"/>
        </w:rPr>
        <w:t>广西南宁技师学院（以下简称“采购人”）对</w:t>
      </w:r>
      <w:r>
        <w:rPr>
          <w:rFonts w:hint="eastAsia"/>
          <w:lang w:eastAsia="zh-CN"/>
        </w:rPr>
        <w:t>《</w:t>
      </w:r>
      <w:r>
        <w:rPr>
          <w:rFonts w:hint="eastAsia"/>
          <w:lang w:val="en-US" w:eastAsia="zh-CN"/>
        </w:rPr>
        <w:t>医药市场营销</w:t>
      </w:r>
      <w:r>
        <w:rPr>
          <w:rFonts w:hint="eastAsia"/>
          <w:lang w:eastAsia="zh-CN"/>
        </w:rPr>
        <w:t>》</w:t>
      </w:r>
      <w:r>
        <w:rPr>
          <w:rFonts w:hint="eastAsia"/>
          <w:lang w:val="en-US" w:eastAsia="zh-CN"/>
        </w:rPr>
        <w:t>优质课程教学资源开发与升级</w:t>
      </w:r>
      <w:r>
        <w:rPr>
          <w:rFonts w:hint="eastAsia" w:ascii="宋体" w:hAnsi="宋体" w:cs="宋体"/>
          <w:kern w:val="28"/>
        </w:rPr>
        <w:t>项目以询价方式采购，欢迎符合资格条件的供应商参加。</w:t>
      </w:r>
    </w:p>
    <w:p>
      <w:pPr>
        <w:spacing w:line="360" w:lineRule="auto"/>
        <w:ind w:firstLine="420" w:firstLineChars="200"/>
        <w:rPr>
          <w:rFonts w:ascii="宋体" w:hAnsi="宋体"/>
          <w:kern w:val="28"/>
        </w:rPr>
      </w:pPr>
      <w:r>
        <w:rPr>
          <w:rFonts w:hint="eastAsia" w:ascii="宋体" w:hAnsi="宋体" w:cs="宋体"/>
          <w:kern w:val="28"/>
        </w:rPr>
        <w:t>一、采购项目编号：GXNNJSXY2026008YY01C</w:t>
      </w:r>
    </w:p>
    <w:p>
      <w:pPr>
        <w:ind w:firstLine="420" w:firstLineChars="200"/>
        <w:rPr>
          <w:rFonts w:ascii="宋体" w:hAnsi="宋体" w:cs="宋体"/>
        </w:rPr>
      </w:pPr>
      <w:r>
        <w:rPr>
          <w:rFonts w:hint="eastAsia" w:ascii="宋体" w:hAnsi="宋体" w:cs="宋体"/>
          <w:kern w:val="28"/>
        </w:rPr>
        <w:t>二、项目名称：</w:t>
      </w:r>
      <w:r>
        <w:rPr>
          <w:rFonts w:hint="eastAsia"/>
          <w:lang w:eastAsia="zh-CN"/>
        </w:rPr>
        <w:t>《</w:t>
      </w:r>
      <w:r>
        <w:rPr>
          <w:rFonts w:hint="eastAsia"/>
          <w:lang w:val="en-US" w:eastAsia="zh-CN"/>
        </w:rPr>
        <w:t>医药市场营销</w:t>
      </w:r>
      <w:r>
        <w:rPr>
          <w:rFonts w:hint="eastAsia"/>
          <w:lang w:eastAsia="zh-CN"/>
        </w:rPr>
        <w:t>》</w:t>
      </w:r>
      <w:r>
        <w:rPr>
          <w:rFonts w:hint="eastAsia"/>
          <w:lang w:val="en-US" w:eastAsia="zh-CN"/>
        </w:rPr>
        <w:t>优质课程教学资源开发与升级</w:t>
      </w:r>
    </w:p>
    <w:p>
      <w:pPr>
        <w:spacing w:line="360" w:lineRule="auto"/>
        <w:ind w:firstLine="420" w:firstLineChars="200"/>
        <w:rPr>
          <w:rFonts w:ascii="宋体" w:hAnsi="宋体"/>
          <w:kern w:val="28"/>
          <w:highlight w:val="none"/>
        </w:rPr>
      </w:pPr>
      <w:r>
        <w:rPr>
          <w:rFonts w:hint="eastAsia" w:ascii="宋体" w:hAnsi="宋体" w:cs="宋体"/>
          <w:kern w:val="28"/>
        </w:rPr>
        <w:t>三、采购预算：</w:t>
      </w:r>
      <w:r>
        <w:rPr>
          <w:rFonts w:ascii="宋体" w:hAnsi="宋体"/>
          <w:kern w:val="28"/>
        </w:rPr>
        <w:t xml:space="preserve"> </w:t>
      </w:r>
      <w:r>
        <w:rPr>
          <w:rFonts w:ascii="宋体" w:hAnsi="宋体"/>
          <w:kern w:val="28"/>
          <w:highlight w:val="none"/>
          <w:u w:val="single"/>
        </w:rPr>
        <w:t xml:space="preserve"> </w:t>
      </w:r>
      <w:r>
        <w:rPr>
          <w:rFonts w:hint="eastAsia" w:ascii="宋体" w:hAnsi="宋体"/>
          <w:kern w:val="28"/>
          <w:highlight w:val="none"/>
          <w:u w:val="single"/>
        </w:rPr>
        <w:t>￥</w:t>
      </w:r>
      <w:r>
        <w:rPr>
          <w:rFonts w:hint="eastAsia" w:ascii="宋体" w:hAnsi="宋体"/>
          <w:kern w:val="28"/>
          <w:highlight w:val="none"/>
          <w:u w:val="single"/>
          <w:lang w:val="en-US" w:eastAsia="zh-CN"/>
        </w:rPr>
        <w:t>70000.00</w:t>
      </w:r>
      <w:r>
        <w:rPr>
          <w:rFonts w:ascii="宋体" w:hAnsi="宋体"/>
          <w:kern w:val="28"/>
          <w:highlight w:val="none"/>
          <w:u w:val="single"/>
        </w:rPr>
        <w:t xml:space="preserve"> </w:t>
      </w:r>
      <w:r>
        <w:rPr>
          <w:rFonts w:hint="eastAsia" w:ascii="宋体" w:hAnsi="宋体" w:cs="宋体"/>
          <w:highlight w:val="none"/>
        </w:rPr>
        <w:t>元</w:t>
      </w:r>
    </w:p>
    <w:p>
      <w:pPr>
        <w:autoSpaceDE w:val="0"/>
        <w:autoSpaceDN w:val="0"/>
        <w:adjustRightInd w:val="0"/>
        <w:snapToGrid w:val="0"/>
        <w:spacing w:line="360" w:lineRule="auto"/>
        <w:ind w:firstLine="420" w:firstLineChars="200"/>
        <w:rPr>
          <w:rFonts w:ascii="宋体" w:hAnsi="宋体" w:cs="宋体"/>
          <w:lang w:val="zh-CN"/>
        </w:rPr>
      </w:pPr>
      <w:r>
        <w:rPr>
          <w:rFonts w:hint="eastAsia" w:ascii="宋体" w:hAnsi="宋体" w:cs="宋体"/>
          <w:lang w:val="zh-CN"/>
        </w:rPr>
        <w:t>四、采购数量：</w:t>
      </w:r>
      <w:r>
        <w:rPr>
          <w:rFonts w:ascii="宋体" w:hAnsi="宋体" w:cs="宋体"/>
          <w:lang w:val="zh-CN"/>
        </w:rPr>
        <w:t>1</w:t>
      </w:r>
      <w:r>
        <w:rPr>
          <w:rFonts w:hint="eastAsia" w:ascii="宋体" w:hAnsi="宋体" w:cs="宋体"/>
          <w:lang w:val="zh-CN"/>
        </w:rPr>
        <w:t>批。</w:t>
      </w:r>
    </w:p>
    <w:p>
      <w:pPr>
        <w:pStyle w:val="35"/>
        <w:ind w:firstLineChars="200"/>
      </w:pPr>
      <w:r>
        <w:rPr>
          <w:rFonts w:hint="eastAsia" w:ascii="宋体" w:hAnsi="宋体" w:cs="宋体"/>
        </w:rPr>
        <w:t>五、采购方式：询价</w:t>
      </w:r>
    </w:p>
    <w:p>
      <w:pPr>
        <w:autoSpaceDE w:val="0"/>
        <w:autoSpaceDN w:val="0"/>
        <w:adjustRightInd w:val="0"/>
        <w:snapToGrid w:val="0"/>
        <w:spacing w:line="360" w:lineRule="auto"/>
        <w:ind w:firstLine="420" w:firstLineChars="200"/>
        <w:rPr>
          <w:rFonts w:ascii="宋体" w:hAnsi="宋体"/>
        </w:rPr>
      </w:pPr>
      <w:r>
        <w:rPr>
          <w:rFonts w:hint="eastAsia" w:ascii="宋体" w:hAnsi="宋体" w:cs="宋体"/>
        </w:rPr>
        <w:t>六</w:t>
      </w:r>
      <w:r>
        <w:rPr>
          <w:rFonts w:hint="eastAsia" w:ascii="宋体" w:hAnsi="宋体" w:cs="宋体"/>
          <w:lang w:val="zh-CN"/>
        </w:rPr>
        <w:t>、采购</w:t>
      </w:r>
      <w:r>
        <w:rPr>
          <w:rFonts w:hint="eastAsia" w:ascii="宋体" w:hAnsi="宋体" w:cs="宋体"/>
        </w:rPr>
        <w:t>项目内容及其它要求</w:t>
      </w:r>
    </w:p>
    <w:p>
      <w:pPr>
        <w:widowControl/>
        <w:spacing w:line="360" w:lineRule="auto"/>
        <w:ind w:firstLine="420" w:firstLineChars="200"/>
        <w:jc w:val="left"/>
        <w:rPr>
          <w:rFonts w:ascii="宋体" w:hAnsi="宋体" w:cs="宋体"/>
        </w:rPr>
      </w:pPr>
      <w:r>
        <w:rPr>
          <w:rFonts w:hint="eastAsia" w:ascii="宋体" w:hAnsi="宋体" w:cs="宋体"/>
        </w:rPr>
        <w:t>1.采购内容：详见询价文件第二部分“采购需求书”的内容。供应商须对全部采购内容进行报价，不允许只对部分内容进行报价。</w:t>
      </w:r>
    </w:p>
    <w:p>
      <w:pPr>
        <w:adjustRightInd w:val="0"/>
        <w:snapToGrid w:val="0"/>
        <w:spacing w:line="360" w:lineRule="auto"/>
        <w:ind w:firstLine="420" w:firstLineChars="200"/>
        <w:rPr>
          <w:rFonts w:ascii="宋体" w:hAnsi="宋体"/>
        </w:rPr>
      </w:pPr>
      <w:bookmarkStart w:id="2" w:name="_Hlk42690548"/>
      <w:r>
        <w:rPr>
          <w:rFonts w:hint="eastAsia" w:ascii="宋体" w:hAnsi="宋体"/>
        </w:rPr>
        <w:t>2.使用财政性资金，但本项目采购内容为集中采购目录以外且采</w:t>
      </w:r>
      <w:r>
        <w:rPr>
          <w:rFonts w:hint="eastAsia" w:ascii="宋体" w:hAnsi="宋体" w:cs="宋体"/>
        </w:rPr>
        <w:t>购限额标</w:t>
      </w:r>
      <w:r>
        <w:rPr>
          <w:rFonts w:hint="eastAsia" w:ascii="宋体" w:hAnsi="宋体"/>
        </w:rPr>
        <w:t>准以下，不纳入政府采购管理范围，由采购人按本单位的内控制度自行采购。</w:t>
      </w:r>
    </w:p>
    <w:bookmarkEnd w:id="2"/>
    <w:p>
      <w:pPr>
        <w:widowControl/>
        <w:spacing w:line="360" w:lineRule="auto"/>
        <w:ind w:firstLine="420" w:firstLineChars="200"/>
        <w:jc w:val="left"/>
        <w:rPr>
          <w:rFonts w:ascii="宋体" w:hAnsi="宋体"/>
        </w:rPr>
      </w:pPr>
      <w:r>
        <w:rPr>
          <w:rFonts w:hint="eastAsia" w:ascii="宋体" w:hAnsi="宋体" w:cs="宋体"/>
        </w:rPr>
        <w:t>3.本项目不允许提交备选方案。</w:t>
      </w:r>
    </w:p>
    <w:p>
      <w:pPr>
        <w:adjustRightInd w:val="0"/>
        <w:snapToGrid w:val="0"/>
        <w:spacing w:line="360" w:lineRule="auto"/>
        <w:ind w:firstLine="420" w:firstLineChars="200"/>
        <w:rPr>
          <w:rFonts w:ascii="宋体" w:hAnsi="宋体"/>
        </w:rPr>
      </w:pPr>
      <w:r>
        <w:rPr>
          <w:rFonts w:hint="eastAsia" w:ascii="宋体" w:hAnsi="宋体" w:cs="宋体"/>
        </w:rPr>
        <w:t>七、供应商资格条件：</w:t>
      </w:r>
    </w:p>
    <w:p>
      <w:pPr>
        <w:widowControl/>
        <w:tabs>
          <w:tab w:val="left" w:pos="420"/>
          <w:tab w:val="left" w:pos="525"/>
          <w:tab w:val="left" w:pos="9639"/>
        </w:tabs>
        <w:spacing w:line="360" w:lineRule="auto"/>
        <w:ind w:right="-6" w:rightChars="-3" w:firstLine="420" w:firstLineChars="200"/>
        <w:jc w:val="left"/>
        <w:rPr>
          <w:rFonts w:ascii="宋体" w:hAnsi="宋体"/>
        </w:rPr>
      </w:pPr>
      <w:r>
        <w:rPr>
          <w:rFonts w:hint="eastAsia" w:ascii="宋体" w:hAnsi="宋体" w:cs="宋体"/>
        </w:rPr>
        <w:t>1.具有独立承担民事责任能力的在中华人民共和国境内注册的企业法人或其他组织机构（提供营业执照复印件加盖公章）</w:t>
      </w:r>
    </w:p>
    <w:p>
      <w:pPr>
        <w:widowControl/>
        <w:tabs>
          <w:tab w:val="left" w:pos="420"/>
          <w:tab w:val="left" w:pos="525"/>
          <w:tab w:val="left" w:pos="9639"/>
        </w:tabs>
        <w:spacing w:line="360" w:lineRule="auto"/>
        <w:ind w:right="-6" w:rightChars="-3" w:firstLine="420" w:firstLineChars="200"/>
        <w:jc w:val="left"/>
        <w:rPr>
          <w:rFonts w:ascii="宋体" w:hAnsi="宋体"/>
        </w:rPr>
      </w:pPr>
      <w:r>
        <w:rPr>
          <w:rFonts w:hint="eastAsia" w:ascii="宋体" w:hAnsi="宋体" w:cs="宋体"/>
          <w:kern w:val="28"/>
        </w:rPr>
        <w:t>2.符合《中华人民共和国政府采购法》第二十二条所规定的条件</w:t>
      </w:r>
      <w:r>
        <w:rPr>
          <w:rFonts w:hint="eastAsia" w:ascii="宋体" w:hAnsi="宋体" w:cs="宋体"/>
        </w:rPr>
        <w:t>（提供</w:t>
      </w:r>
      <w:r>
        <w:rPr>
          <w:rFonts w:hint="eastAsia" w:ascii="宋体" w:hAnsi="宋体" w:cs="宋体"/>
          <w:kern w:val="28"/>
        </w:rPr>
        <w:t>《</w:t>
      </w:r>
      <w:r>
        <w:rPr>
          <w:rFonts w:hint="eastAsia" w:ascii="宋体" w:hAnsi="宋体" w:cs="宋体"/>
          <w:kern w:val="28"/>
          <w:lang w:val="en-US" w:eastAsia="zh-CN"/>
        </w:rPr>
        <w:t>供应商</w:t>
      </w:r>
      <w:r>
        <w:rPr>
          <w:rFonts w:hint="eastAsia" w:ascii="宋体" w:hAnsi="宋体" w:cs="宋体"/>
          <w:kern w:val="28"/>
        </w:rPr>
        <w:t>资格声明函》</w:t>
      </w:r>
      <w:r>
        <w:rPr>
          <w:rFonts w:hint="eastAsia" w:ascii="宋体" w:hAnsi="宋体" w:cs="宋体"/>
        </w:rPr>
        <w:t>）</w:t>
      </w:r>
    </w:p>
    <w:p>
      <w:pPr>
        <w:pStyle w:val="9"/>
        <w:spacing w:line="400" w:lineRule="exact"/>
        <w:rPr>
          <w:rFonts w:ascii="宋体" w:hAnsi="宋体"/>
        </w:rPr>
      </w:pPr>
      <w:r>
        <w:rPr>
          <w:rFonts w:hint="eastAsia" w:ascii="宋体" w:hAnsi="宋体"/>
          <w:kern w:val="2"/>
          <w:sz w:val="21"/>
          <w:szCs w:val="21"/>
        </w:rPr>
        <w:t>3.本项目的特定资格要求：</w:t>
      </w:r>
      <w:r>
        <w:rPr>
          <w:rFonts w:hint="eastAsia" w:ascii="宋体" w:hAnsi="宋体"/>
          <w:kern w:val="2"/>
          <w:sz w:val="21"/>
          <w:szCs w:val="21"/>
          <w:lang w:val="en-US" w:eastAsia="zh-CN"/>
        </w:rPr>
        <w:t>无</w:t>
      </w:r>
    </w:p>
    <w:p>
      <w:pPr>
        <w:spacing w:line="400" w:lineRule="exact"/>
        <w:ind w:firstLine="420" w:firstLineChars="200"/>
        <w:rPr>
          <w:rFonts w:ascii="宋体" w:hAnsi="宋体"/>
        </w:rPr>
      </w:pPr>
      <w:r>
        <w:rPr>
          <w:rFonts w:hint="eastAsia" w:ascii="宋体" w:hAnsi="宋体"/>
        </w:rPr>
        <w:t>4. 本项目的特定条件：</w:t>
      </w:r>
      <w:r>
        <w:rPr>
          <w:rFonts w:hint="eastAsia" w:ascii="宋体" w:hAnsi="宋体"/>
          <w:lang w:val="en-US" w:eastAsia="zh-CN"/>
        </w:rPr>
        <w:t>无</w:t>
      </w:r>
    </w:p>
    <w:p>
      <w:pPr>
        <w:widowControl/>
        <w:spacing w:line="360" w:lineRule="auto"/>
        <w:ind w:firstLine="420" w:firstLineChars="200"/>
        <w:rPr>
          <w:rFonts w:ascii="宋体" w:hAnsi="宋体"/>
          <w:kern w:val="28"/>
        </w:rPr>
      </w:pPr>
      <w:r>
        <w:rPr>
          <w:rFonts w:hint="eastAsia" w:ascii="宋体" w:hAnsi="宋体" w:cs="宋体"/>
          <w:kern w:val="28"/>
        </w:rPr>
        <w:t>5.</w:t>
      </w:r>
      <w:r>
        <w:rPr>
          <w:rFonts w:hint="eastAsia" w:ascii="宋体" w:hAnsi="宋体"/>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widowControl/>
        <w:spacing w:line="360" w:lineRule="auto"/>
        <w:ind w:firstLine="420" w:firstLineChars="200"/>
        <w:rPr>
          <w:rFonts w:hint="eastAsia" w:ascii="宋体" w:hAnsi="宋体" w:eastAsia="宋体"/>
          <w:kern w:val="28"/>
          <w:lang w:eastAsia="zh-CN"/>
        </w:rPr>
      </w:pPr>
      <w:r>
        <w:rPr>
          <w:rFonts w:hint="eastAsia" w:ascii="宋体" w:hAnsi="宋体" w:cs="宋体"/>
          <w:kern w:val="28"/>
        </w:rPr>
        <w:t>6.</w:t>
      </w:r>
      <w:r>
        <w:rPr>
          <w:rFonts w:hint="eastAsia" w:ascii="宋体" w:hAnsi="宋体"/>
          <w:color w:val="000000"/>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次采购活动</w:t>
      </w:r>
    </w:p>
    <w:p>
      <w:pPr>
        <w:widowControl/>
        <w:tabs>
          <w:tab w:val="left" w:pos="420"/>
          <w:tab w:val="left" w:pos="525"/>
          <w:tab w:val="left" w:pos="9639"/>
        </w:tabs>
        <w:spacing w:line="360" w:lineRule="auto"/>
        <w:ind w:right="-6" w:rightChars="-3" w:firstLine="420" w:firstLineChars="200"/>
        <w:jc w:val="left"/>
        <w:rPr>
          <w:rFonts w:hint="eastAsia" w:ascii="宋体" w:hAnsi="宋体" w:eastAsia="宋体"/>
          <w:lang w:val="en-US" w:eastAsia="zh-CN"/>
        </w:rPr>
      </w:pPr>
      <w:r>
        <w:rPr>
          <w:rFonts w:hint="eastAsia" w:ascii="宋体" w:hAnsi="宋体" w:cs="宋体"/>
        </w:rPr>
        <w:t>7.本项目不接受联合体</w:t>
      </w:r>
      <w:r>
        <w:rPr>
          <w:rFonts w:hint="eastAsia" w:ascii="宋体" w:hAnsi="宋体" w:cs="宋体"/>
          <w:lang w:val="en-US" w:eastAsia="zh-CN"/>
        </w:rPr>
        <w:t>报价</w:t>
      </w:r>
    </w:p>
    <w:p>
      <w:pPr>
        <w:adjustRightInd w:val="0"/>
        <w:snapToGrid w:val="0"/>
        <w:spacing w:line="360" w:lineRule="auto"/>
        <w:ind w:firstLine="420" w:firstLineChars="200"/>
        <w:rPr>
          <w:rFonts w:ascii="宋体" w:hAnsi="宋体"/>
        </w:rPr>
      </w:pPr>
      <w:r>
        <w:rPr>
          <w:rFonts w:hint="eastAsia" w:ascii="宋体" w:hAnsi="宋体" w:cs="宋体"/>
        </w:rPr>
        <w:t>八、响应文件递交时间：202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7</w:t>
      </w:r>
      <w:r>
        <w:rPr>
          <w:rFonts w:hint="eastAsia" w:ascii="宋体" w:hAnsi="宋体" w:cs="宋体"/>
        </w:rPr>
        <w:t>月</w:t>
      </w:r>
      <w:r>
        <w:rPr>
          <w:rFonts w:hint="eastAsia" w:ascii="宋体" w:hAnsi="宋体" w:cs="宋体"/>
          <w:lang w:val="en-US" w:eastAsia="zh-CN"/>
        </w:rPr>
        <w:t>17</w:t>
      </w:r>
      <w:r>
        <w:rPr>
          <w:rFonts w:hint="eastAsia" w:ascii="宋体" w:hAnsi="宋体" w:cs="宋体"/>
        </w:rPr>
        <w:t>日</w:t>
      </w:r>
      <w:r>
        <w:rPr>
          <w:rFonts w:hint="eastAsia" w:ascii="宋体" w:hAnsi="宋体" w:cs="宋体"/>
          <w:lang w:val="en-US" w:eastAsia="zh-CN"/>
        </w:rPr>
        <w:t>下</w:t>
      </w:r>
      <w:r>
        <w:rPr>
          <w:rFonts w:hint="eastAsia" w:ascii="宋体" w:hAnsi="宋体" w:cs="宋体"/>
        </w:rPr>
        <w:t>午</w:t>
      </w:r>
      <w:r>
        <w:rPr>
          <w:rFonts w:hint="eastAsia" w:ascii="宋体" w:hAnsi="宋体" w:cs="宋体"/>
          <w:lang w:val="en-US" w:eastAsia="zh-CN"/>
        </w:rPr>
        <w:t>14点至15点，其他时间段不接受响应文件递交</w:t>
      </w:r>
      <w:r>
        <w:rPr>
          <w:rFonts w:hint="eastAsia" w:ascii="宋体" w:hAnsi="宋体" w:cs="宋体"/>
        </w:rPr>
        <w:t>。</w:t>
      </w:r>
    </w:p>
    <w:p>
      <w:pPr>
        <w:adjustRightInd w:val="0"/>
        <w:snapToGrid w:val="0"/>
        <w:spacing w:line="360" w:lineRule="auto"/>
        <w:ind w:firstLine="420" w:firstLineChars="200"/>
        <w:rPr>
          <w:rFonts w:ascii="宋体" w:hAnsi="宋体"/>
        </w:rPr>
      </w:pPr>
      <w:r>
        <w:rPr>
          <w:rFonts w:hint="eastAsia" w:ascii="宋体" w:hAnsi="宋体" w:cs="宋体"/>
        </w:rPr>
        <w:t>九、响应文件</w:t>
      </w:r>
      <w:r>
        <w:rPr>
          <w:rFonts w:hint="eastAsia" w:ascii="宋体" w:hAnsi="宋体" w:cs="宋体"/>
          <w:lang w:val="zh-CN"/>
        </w:rPr>
        <w:t>递交</w:t>
      </w:r>
      <w:r>
        <w:rPr>
          <w:rFonts w:hint="eastAsia" w:ascii="宋体" w:hAnsi="宋体" w:cs="宋体"/>
        </w:rPr>
        <w:t>地点：南宁市大学西路157号广西南宁技师学院综合楼16楼1606室，不接收邮寄方式递交的响应文件。</w:t>
      </w:r>
    </w:p>
    <w:p>
      <w:pPr>
        <w:adjustRightInd w:val="0"/>
        <w:snapToGrid w:val="0"/>
        <w:spacing w:line="360" w:lineRule="auto"/>
        <w:ind w:firstLine="420" w:firstLineChars="200"/>
        <w:rPr>
          <w:rFonts w:ascii="宋体" w:hAnsi="宋体"/>
        </w:rPr>
      </w:pPr>
      <w:r>
        <w:rPr>
          <w:rFonts w:hint="eastAsia" w:ascii="宋体" w:hAnsi="宋体" w:cs="宋体"/>
        </w:rPr>
        <w:t>十、联系事项</w:t>
      </w:r>
    </w:p>
    <w:p>
      <w:pPr>
        <w:adjustRightInd w:val="0"/>
        <w:snapToGrid w:val="0"/>
        <w:spacing w:line="360" w:lineRule="auto"/>
        <w:ind w:firstLine="420" w:firstLineChars="200"/>
        <w:rPr>
          <w:rFonts w:ascii="宋体" w:hAnsi="宋体"/>
        </w:rPr>
      </w:pPr>
      <w:r>
        <w:rPr>
          <w:rFonts w:hint="eastAsia" w:ascii="宋体" w:hAnsi="宋体" w:cs="宋体"/>
        </w:rPr>
        <w:t>采购人：广西南宁技师学院</w:t>
      </w:r>
      <w:r>
        <w:rPr>
          <w:rFonts w:ascii="宋体" w:hAnsi="宋体" w:cs="宋体"/>
        </w:rPr>
        <w:t xml:space="preserve"> </w:t>
      </w:r>
    </w:p>
    <w:p>
      <w:pPr>
        <w:adjustRightInd w:val="0"/>
        <w:snapToGrid w:val="0"/>
        <w:spacing w:line="360" w:lineRule="auto"/>
        <w:ind w:firstLine="420" w:firstLineChars="200"/>
        <w:rPr>
          <w:rFonts w:ascii="宋体" w:hAnsi="宋体"/>
        </w:rPr>
      </w:pPr>
      <w:r>
        <w:rPr>
          <w:rFonts w:hint="eastAsia" w:ascii="宋体" w:hAnsi="宋体" w:cs="宋体"/>
        </w:rPr>
        <w:t>联系地址：南宁市大学西路157号</w:t>
      </w:r>
    </w:p>
    <w:p>
      <w:pPr>
        <w:adjustRightInd w:val="0"/>
        <w:snapToGrid w:val="0"/>
        <w:spacing w:line="360" w:lineRule="auto"/>
        <w:ind w:firstLine="420" w:firstLineChars="200"/>
        <w:rPr>
          <w:rFonts w:ascii="宋体" w:hAnsi="宋体" w:cs="宋体"/>
        </w:rPr>
      </w:pPr>
      <w:r>
        <w:rPr>
          <w:rFonts w:hint="eastAsia" w:ascii="宋体" w:hAnsi="宋体" w:cs="宋体"/>
        </w:rPr>
        <w:t>联系人：刘老师，联系电话：07</w:t>
      </w:r>
      <w:r>
        <w:rPr>
          <w:rFonts w:ascii="宋体" w:hAnsi="宋体" w:cs="宋体"/>
        </w:rPr>
        <w:t>71</w:t>
      </w:r>
      <w:r>
        <w:rPr>
          <w:rFonts w:hint="eastAsia" w:ascii="宋体" w:hAnsi="宋体" w:cs="宋体"/>
        </w:rPr>
        <w:t>-</w:t>
      </w:r>
      <w:r>
        <w:rPr>
          <w:rFonts w:ascii="宋体" w:hAnsi="宋体" w:cs="宋体"/>
        </w:rPr>
        <w:t>4928055</w:t>
      </w:r>
    </w:p>
    <w:p>
      <w:pPr>
        <w:adjustRightInd w:val="0"/>
        <w:snapToGrid w:val="0"/>
        <w:spacing w:line="360" w:lineRule="auto"/>
        <w:ind w:left="4620" w:leftChars="700" w:hanging="3150" w:hangingChars="1500"/>
        <w:jc w:val="left"/>
        <w:rPr>
          <w:rFonts w:ascii="宋体" w:hAnsi="宋体"/>
          <w:u w:val="single"/>
        </w:rPr>
      </w:pPr>
      <w:r>
        <w:rPr>
          <w:rFonts w:ascii="宋体" w:hAnsi="宋体" w:cs="宋体"/>
        </w:rPr>
        <w:t xml:space="preserve">                                                                                   </w:t>
      </w:r>
      <w:r>
        <w:rPr>
          <w:rFonts w:hint="eastAsia" w:ascii="宋体" w:hAnsi="宋体" w:cs="宋体"/>
        </w:rPr>
        <w:t>发布人：广西南宁技师学院</w:t>
      </w:r>
    </w:p>
    <w:p>
      <w:pPr>
        <w:spacing w:line="360" w:lineRule="auto"/>
        <w:ind w:right="840" w:firstLine="420" w:firstLineChars="200"/>
        <w:jc w:val="right"/>
        <w:rPr>
          <w:rFonts w:ascii="宋体" w:hAnsi="宋体"/>
        </w:rPr>
      </w:pPr>
      <w:r>
        <w:rPr>
          <w:rFonts w:hint="eastAsia" w:ascii="宋体" w:hAnsi="宋体" w:cs="宋体"/>
        </w:rPr>
        <w:t>发布时间：</w:t>
      </w:r>
      <w:r>
        <w:rPr>
          <w:rFonts w:hint="eastAsia" w:ascii="宋体" w:hAnsi="宋体"/>
        </w:rPr>
        <w:t>202</w:t>
      </w:r>
      <w:r>
        <w:rPr>
          <w:rFonts w:hint="eastAsia" w:ascii="宋体" w:hAnsi="宋体"/>
          <w:lang w:val="en-US" w:eastAsia="zh-CN"/>
        </w:rPr>
        <w:t>6</w:t>
      </w:r>
      <w:r>
        <w:rPr>
          <w:rFonts w:hint="eastAsia" w:ascii="宋体" w:hAnsi="宋体"/>
        </w:rPr>
        <w:t xml:space="preserve">年 </w:t>
      </w:r>
      <w:r>
        <w:rPr>
          <w:rFonts w:hint="eastAsia" w:ascii="宋体" w:hAnsi="宋体"/>
          <w:lang w:val="en-US" w:eastAsia="zh-CN"/>
        </w:rPr>
        <w:t>7</w:t>
      </w:r>
      <w:r>
        <w:rPr>
          <w:rFonts w:hint="eastAsia" w:ascii="宋体" w:hAnsi="宋体"/>
        </w:rPr>
        <w:t xml:space="preserve"> 月 </w:t>
      </w:r>
      <w:r>
        <w:rPr>
          <w:rFonts w:hint="eastAsia" w:ascii="宋体" w:hAnsi="宋体"/>
          <w:lang w:val="en-US" w:eastAsia="zh-CN"/>
        </w:rPr>
        <w:t>14</w:t>
      </w:r>
      <w:bookmarkStart w:id="96" w:name="_GoBack"/>
      <w:bookmarkEnd w:id="96"/>
      <w:r>
        <w:rPr>
          <w:rFonts w:hint="eastAsia" w:ascii="宋体" w:hAnsi="宋体"/>
        </w:rPr>
        <w:t xml:space="preserve">  日</w:t>
      </w:r>
    </w:p>
    <w:p>
      <w:pPr>
        <w:spacing w:line="460" w:lineRule="exact"/>
        <w:rPr>
          <w:rFonts w:ascii="宋体" w:hAnsi="宋体" w:cs="宋体"/>
        </w:rPr>
      </w:pPr>
      <w:r>
        <w:rPr>
          <w:rFonts w:hint="eastAsia" w:ascii="宋体" w:hAnsi="宋体" w:cs="宋体"/>
        </w:rPr>
        <w:t xml:space="preserve"> </w:t>
      </w:r>
      <w:r>
        <w:rPr>
          <w:rFonts w:ascii="宋体" w:hAnsi="宋体" w:cs="宋体"/>
        </w:rPr>
        <w:t xml:space="preserve"> </w:t>
      </w:r>
    </w:p>
    <w:p>
      <w:pPr>
        <w:pStyle w:val="35"/>
        <w:ind w:firstLine="210"/>
      </w:pPr>
    </w:p>
    <w:p>
      <w:pPr>
        <w:pStyle w:val="35"/>
        <w:ind w:firstLine="210"/>
      </w:pPr>
    </w:p>
    <w:p>
      <w:pPr>
        <w:pStyle w:val="35"/>
        <w:ind w:firstLine="210"/>
      </w:pPr>
    </w:p>
    <w:p>
      <w:pPr>
        <w:pStyle w:val="35"/>
        <w:ind w:firstLine="210"/>
      </w:pPr>
    </w:p>
    <w:p>
      <w:pPr>
        <w:pStyle w:val="35"/>
        <w:ind w:firstLine="210"/>
      </w:pPr>
    </w:p>
    <w:p>
      <w:pPr>
        <w:pStyle w:val="3"/>
        <w:rPr>
          <w:sz w:val="36"/>
          <w:szCs w:val="36"/>
        </w:rPr>
      </w:pPr>
      <w:bookmarkStart w:id="3" w:name="_Toc10615"/>
      <w:bookmarkStart w:id="4" w:name="_Toc23927923"/>
    </w:p>
    <w:p>
      <w:pPr>
        <w:pStyle w:val="3"/>
        <w:jc w:val="center"/>
        <w:rPr>
          <w:sz w:val="36"/>
          <w:szCs w:val="36"/>
        </w:rPr>
      </w:pPr>
    </w:p>
    <w:p/>
    <w:p>
      <w:pPr>
        <w:pStyle w:val="3"/>
        <w:jc w:val="center"/>
        <w:rPr>
          <w:sz w:val="36"/>
          <w:szCs w:val="36"/>
        </w:rPr>
      </w:pPr>
    </w:p>
    <w:p>
      <w:pPr>
        <w:rPr>
          <w:sz w:val="36"/>
          <w:szCs w:val="36"/>
        </w:rPr>
      </w:pPr>
    </w:p>
    <w:p>
      <w:pPr>
        <w:pStyle w:val="2"/>
      </w:pPr>
    </w:p>
    <w:p>
      <w:pPr>
        <w:pStyle w:val="3"/>
        <w:jc w:val="center"/>
        <w:rPr>
          <w:sz w:val="36"/>
          <w:szCs w:val="36"/>
        </w:rPr>
      </w:pPr>
      <w:r>
        <w:rPr>
          <w:rFonts w:hint="eastAsia"/>
          <w:sz w:val="36"/>
          <w:szCs w:val="36"/>
        </w:rPr>
        <w:t>第二章　采购需求书</w:t>
      </w:r>
      <w:bookmarkEnd w:id="3"/>
    </w:p>
    <w:p>
      <w:pPr>
        <w:tabs>
          <w:tab w:val="left" w:pos="420"/>
          <w:tab w:val="left" w:pos="540"/>
          <w:tab w:val="left" w:pos="574"/>
        </w:tabs>
        <w:spacing w:line="360" w:lineRule="auto"/>
        <w:ind w:left="420"/>
        <w:outlineLvl w:val="0"/>
        <w:rPr>
          <w:rFonts w:ascii="宋体" w:hAnsi="宋体" w:cs="宋体"/>
          <w:b/>
          <w:bCs/>
        </w:rPr>
      </w:pPr>
      <w:bookmarkStart w:id="5" w:name="_Toc20382"/>
      <w:r>
        <w:rPr>
          <w:rFonts w:ascii="宋体" w:hAnsi="宋体" w:cs="宋体"/>
          <w:b/>
          <w:bCs/>
        </w:rPr>
        <w:t>一、</w:t>
      </w:r>
      <w:r>
        <w:rPr>
          <w:rFonts w:hint="eastAsia" w:ascii="宋体" w:hAnsi="宋体" w:cs="宋体"/>
          <w:b/>
          <w:bCs/>
        </w:rPr>
        <w:t>说明：</w:t>
      </w:r>
      <w:bookmarkEnd w:id="5"/>
    </w:p>
    <w:p>
      <w:pPr>
        <w:tabs>
          <w:tab w:val="left" w:pos="425"/>
        </w:tabs>
        <w:adjustRightInd w:val="0"/>
        <w:snapToGrid w:val="0"/>
        <w:spacing w:line="400" w:lineRule="exact"/>
        <w:ind w:firstLine="422" w:firstLineChars="200"/>
        <w:rPr>
          <w:rFonts w:ascii="宋体" w:hAnsi="宋体" w:cs="Times New Roman"/>
          <w:b/>
          <w:bCs/>
          <w:u w:val="double"/>
        </w:rPr>
      </w:pPr>
      <w:r>
        <w:rPr>
          <w:rFonts w:hint="eastAsia" w:ascii="宋体" w:hAnsi="宋体" w:cs="宋体"/>
          <w:b/>
          <w:bCs/>
          <w:u w:val="double"/>
        </w:rPr>
        <w:t>本项目最高限价为人民币</w:t>
      </w:r>
      <w:r>
        <w:rPr>
          <w:rFonts w:hint="eastAsia" w:ascii="宋体" w:hAnsi="宋体" w:cs="宋体"/>
          <w:b/>
          <w:bCs/>
          <w:u w:val="double"/>
          <w:lang w:val="en-US" w:eastAsia="zh-CN"/>
        </w:rPr>
        <w:t>7</w:t>
      </w:r>
      <w:r>
        <w:rPr>
          <w:rFonts w:hint="eastAsia" w:ascii="宋体" w:hAnsi="宋体" w:cs="宋体"/>
          <w:b/>
          <w:bCs/>
          <w:highlight w:val="none"/>
          <w:u w:val="double"/>
          <w:lang w:val="en-US" w:eastAsia="zh-CN"/>
        </w:rPr>
        <w:t>0</w:t>
      </w:r>
      <w:r>
        <w:rPr>
          <w:rFonts w:hint="eastAsia" w:ascii="宋体" w:hAnsi="宋体" w:cs="宋体"/>
          <w:b/>
          <w:bCs/>
          <w:highlight w:val="none"/>
          <w:u w:val="double"/>
        </w:rPr>
        <w:t>000</w:t>
      </w:r>
      <w:r>
        <w:rPr>
          <w:rFonts w:hint="eastAsia" w:ascii="宋体" w:hAnsi="宋体" w:cs="宋体"/>
          <w:b/>
          <w:bCs/>
          <w:highlight w:val="none"/>
          <w:u w:val="double"/>
          <w:lang w:val="en-US" w:eastAsia="zh-CN"/>
        </w:rPr>
        <w:t>.00</w:t>
      </w:r>
      <w:r>
        <w:rPr>
          <w:rFonts w:hint="eastAsia" w:ascii="宋体" w:hAnsi="宋体" w:cs="宋体"/>
          <w:b/>
          <w:bCs/>
          <w:u w:val="double"/>
        </w:rPr>
        <w:t>元，供应商的总报价不得超出其最高限价，否则视为无效</w:t>
      </w:r>
      <w:r>
        <w:rPr>
          <w:rFonts w:hint="eastAsia" w:ascii="宋体" w:hAnsi="宋体" w:cs="宋体"/>
          <w:b/>
          <w:bCs/>
          <w:u w:val="double"/>
          <w:lang w:val="en-US" w:eastAsia="zh-CN"/>
        </w:rPr>
        <w:t>报价</w:t>
      </w:r>
      <w:r>
        <w:rPr>
          <w:rFonts w:hint="eastAsia" w:ascii="宋体" w:hAnsi="宋体" w:cs="宋体"/>
          <w:b/>
          <w:bCs/>
          <w:u w:val="double"/>
        </w:rPr>
        <w:t>。</w:t>
      </w:r>
    </w:p>
    <w:p>
      <w:pPr>
        <w:pStyle w:val="35"/>
        <w:ind w:firstLine="210"/>
      </w:pPr>
    </w:p>
    <w:p>
      <w:pPr>
        <w:pStyle w:val="12"/>
        <w:ind w:firstLine="420" w:firstLineChars="200"/>
        <w:rPr>
          <w:rFonts w:ascii="宋体" w:hAnsi="Times New Roman" w:cs="宋体"/>
        </w:rPr>
      </w:pPr>
      <w:r>
        <w:rPr>
          <w:rFonts w:hint="eastAsia" w:ascii="宋体" w:hAnsi="Times New Roman" w:cs="宋体"/>
        </w:rPr>
        <w:t>1.供应商须对本项目的服务</w:t>
      </w:r>
      <w:r>
        <w:rPr>
          <w:rFonts w:hint="eastAsia" w:ascii="宋体" w:hAnsi="Times New Roman" w:cs="宋体"/>
          <w:lang w:val="en-US" w:eastAsia="zh-CN"/>
        </w:rPr>
        <w:t>清单及服务内容</w:t>
      </w:r>
      <w:r>
        <w:rPr>
          <w:rFonts w:hint="eastAsia" w:ascii="宋体" w:hAnsi="Times New Roman" w:cs="宋体"/>
        </w:rPr>
        <w:t>进行整体响应，任何只对项目其中一部分内容进行的响应都被视为无效</w:t>
      </w:r>
      <w:r>
        <w:rPr>
          <w:rFonts w:hint="eastAsia" w:ascii="宋体" w:cs="宋体"/>
          <w:lang w:val="en-US" w:eastAsia="zh-CN"/>
        </w:rPr>
        <w:t>报价</w:t>
      </w:r>
      <w:r>
        <w:rPr>
          <w:rFonts w:hint="eastAsia" w:ascii="宋体" w:hAnsi="Times New Roman" w:cs="宋体"/>
        </w:rPr>
        <w:t>。</w:t>
      </w:r>
    </w:p>
    <w:p>
      <w:pPr>
        <w:snapToGrid w:val="0"/>
        <w:spacing w:line="360" w:lineRule="auto"/>
        <w:ind w:firstLine="420" w:firstLineChars="200"/>
        <w:rPr>
          <w:rFonts w:ascii="宋体" w:hAnsi="Times New Roman" w:cs="宋体"/>
        </w:rPr>
      </w:pPr>
      <w:r>
        <w:rPr>
          <w:rFonts w:hint="eastAsia" w:ascii="宋体" w:hAnsi="Times New Roman" w:cs="宋体"/>
        </w:rPr>
        <w:t>2.采购需求书中打“▲”号条款为实质性条款，供应商如有任何一条负偏离则导致</w:t>
      </w:r>
      <w:r>
        <w:rPr>
          <w:rFonts w:hint="eastAsia" w:ascii="宋体" w:hAnsi="Times New Roman" w:cs="宋体"/>
          <w:lang w:val="en-US" w:eastAsia="zh-CN"/>
        </w:rPr>
        <w:t>报价</w:t>
      </w:r>
      <w:r>
        <w:rPr>
          <w:rFonts w:hint="eastAsia" w:ascii="宋体" w:hAnsi="Times New Roman" w:cs="宋体"/>
        </w:rPr>
        <w:t>无效。</w:t>
      </w:r>
    </w:p>
    <w:p>
      <w:pPr>
        <w:snapToGrid w:val="0"/>
        <w:spacing w:line="360" w:lineRule="auto"/>
        <w:ind w:firstLine="420" w:firstLineChars="200"/>
        <w:rPr>
          <w:rFonts w:ascii="宋体" w:hAnsi="Times New Roman" w:cs="宋体"/>
        </w:rPr>
      </w:pPr>
      <w:r>
        <w:rPr>
          <w:rFonts w:hint="eastAsia" w:ascii="宋体" w:hAnsi="Times New Roman" w:cs="宋体"/>
        </w:rPr>
        <w:t>3.使用财政性资金，但本项目采购内容为集中采购目录以外且采购限额标准以下，不纳入政府采购管理范围，由采购人按本单位的内控制度自行采购。</w:t>
      </w:r>
    </w:p>
    <w:p>
      <w:pPr>
        <w:tabs>
          <w:tab w:val="left" w:pos="420"/>
          <w:tab w:val="left" w:pos="540"/>
          <w:tab w:val="left" w:pos="574"/>
        </w:tabs>
        <w:spacing w:line="360" w:lineRule="auto"/>
        <w:ind w:left="420"/>
        <w:outlineLvl w:val="0"/>
        <w:rPr>
          <w:rFonts w:ascii="宋体" w:hAnsi="宋体" w:cs="宋体"/>
          <w:b/>
          <w:bCs/>
        </w:rPr>
      </w:pPr>
      <w:bookmarkStart w:id="6" w:name="_Toc18091"/>
      <w:r>
        <w:rPr>
          <w:rFonts w:ascii="宋体" w:hAnsi="宋体" w:cs="宋体"/>
          <w:b/>
          <w:bCs/>
        </w:rPr>
        <w:t>二、</w:t>
      </w:r>
      <w:r>
        <w:rPr>
          <w:rFonts w:hint="eastAsia" w:ascii="宋体" w:hAnsi="宋体" w:cs="宋体"/>
          <w:b/>
          <w:bCs/>
        </w:rPr>
        <w:t>采购内容简述</w:t>
      </w:r>
      <w:bookmarkEnd w:id="6"/>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1.采购内容：详见“四、服务清单”；</w:t>
      </w:r>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2.数量：详见“四、服务清单”；</w:t>
      </w:r>
    </w:p>
    <w:p>
      <w:pPr>
        <w:snapToGrid w:val="0"/>
        <w:spacing w:line="360" w:lineRule="auto"/>
        <w:ind w:firstLine="420" w:firstLineChars="200"/>
        <w:rPr>
          <w:rFonts w:ascii="宋体" w:hAnsi="Times New Roman" w:cs="宋体"/>
          <w:bCs/>
          <w:color w:val="000000" w:themeColor="text1"/>
          <w:szCs w:val="20"/>
          <w14:textFill>
            <w14:solidFill>
              <w14:schemeClr w14:val="tx1"/>
            </w14:solidFill>
          </w14:textFill>
        </w:rPr>
      </w:pPr>
      <w:r>
        <w:rPr>
          <w:rFonts w:hint="eastAsia" w:ascii="宋体" w:hAnsi="Times New Roman" w:cs="宋体"/>
          <w:bCs/>
          <w:color w:val="000000" w:themeColor="text1"/>
          <w:szCs w:val="20"/>
          <w14:textFill>
            <w14:solidFill>
              <w14:schemeClr w14:val="tx1"/>
            </w14:solidFill>
          </w14:textFill>
        </w:rPr>
        <w:t>3.服务期：</w:t>
      </w:r>
      <w:r>
        <w:rPr>
          <w:rFonts w:hint="eastAsia" w:ascii="Times New Roman" w:hAnsi="宋体" w:cs="宋体"/>
          <w:color w:val="000000" w:themeColor="text1"/>
          <w14:textFill>
            <w14:solidFill>
              <w14:schemeClr w14:val="tx1"/>
            </w14:solidFill>
          </w14:textFill>
        </w:rPr>
        <w:t>合同签订之日起</w:t>
      </w:r>
      <w:r>
        <w:rPr>
          <w:rFonts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 xml:space="preserve">壹 </w:t>
      </w:r>
      <w:r>
        <w:rPr>
          <w:rFonts w:hint="eastAsia" w:ascii="宋体" w:hAnsi="宋体" w:cs="宋体"/>
          <w:color w:val="000000" w:themeColor="text1"/>
          <w14:textFill>
            <w14:solidFill>
              <w14:schemeClr w14:val="tx1"/>
            </w14:solidFill>
          </w14:textFill>
        </w:rPr>
        <w:t>年</w:t>
      </w:r>
      <w:r>
        <w:rPr>
          <w:rFonts w:hint="eastAsia" w:ascii="宋体" w:hAnsi="Times New Roman" w:cs="宋体"/>
          <w:bCs/>
          <w:color w:val="000000" w:themeColor="text1"/>
          <w:szCs w:val="20"/>
          <w14:textFill>
            <w14:solidFill>
              <w14:schemeClr w14:val="tx1"/>
            </w14:solidFill>
          </w14:textFill>
        </w:rPr>
        <w:t>；</w:t>
      </w:r>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4.预算金额：人民币</w:t>
      </w:r>
      <w:r>
        <w:rPr>
          <w:rFonts w:hint="eastAsia" w:ascii="宋体" w:hAnsi="Times New Roman" w:cs="宋体"/>
          <w:bCs/>
          <w:szCs w:val="20"/>
          <w:highlight w:val="none"/>
          <w:u w:val="single"/>
          <w:lang w:val="en-US" w:eastAsia="zh-CN"/>
        </w:rPr>
        <w:t>70</w:t>
      </w:r>
      <w:r>
        <w:rPr>
          <w:rFonts w:hint="eastAsia" w:ascii="宋体" w:hAnsi="Times New Roman" w:cs="宋体"/>
          <w:bCs/>
          <w:highlight w:val="none"/>
          <w:u w:val="single"/>
        </w:rPr>
        <w:t>000</w:t>
      </w:r>
      <w:r>
        <w:rPr>
          <w:rFonts w:hint="eastAsia" w:ascii="宋体" w:hAnsi="Times New Roman" w:cs="宋体"/>
          <w:bCs/>
          <w:highlight w:val="none"/>
          <w:u w:val="single"/>
          <w:lang w:val="en-US" w:eastAsia="zh-CN"/>
        </w:rPr>
        <w:t>.00</w:t>
      </w:r>
      <w:r>
        <w:rPr>
          <w:rFonts w:ascii="宋体" w:hAnsi="Times New Roman" w:cs="宋体"/>
          <w:bCs/>
          <w:highlight w:val="none"/>
          <w:u w:val="single"/>
        </w:rPr>
        <w:t xml:space="preserve"> </w:t>
      </w:r>
      <w:r>
        <w:rPr>
          <w:rFonts w:hint="eastAsia" w:ascii="宋体" w:hAnsi="Times New Roman" w:cs="宋体"/>
          <w:bCs/>
          <w:szCs w:val="20"/>
          <w:highlight w:val="none"/>
        </w:rPr>
        <w:t>元</w:t>
      </w:r>
      <w:r>
        <w:rPr>
          <w:rFonts w:hint="eastAsia" w:ascii="宋体" w:hAnsi="Times New Roman" w:cs="宋体"/>
          <w:bCs/>
          <w:szCs w:val="20"/>
        </w:rPr>
        <w:t>（供应商报价超过预算金额将按无效</w:t>
      </w:r>
      <w:r>
        <w:rPr>
          <w:rFonts w:hint="eastAsia" w:ascii="宋体" w:hAnsi="Times New Roman" w:cs="宋体"/>
          <w:bCs/>
          <w:szCs w:val="20"/>
          <w:lang w:val="en-US" w:eastAsia="zh-CN"/>
        </w:rPr>
        <w:t>报价</w:t>
      </w:r>
      <w:r>
        <w:rPr>
          <w:rFonts w:hint="eastAsia" w:ascii="宋体" w:hAnsi="Times New Roman" w:cs="宋体"/>
          <w:bCs/>
          <w:szCs w:val="20"/>
        </w:rPr>
        <w:t>处理）。</w:t>
      </w:r>
    </w:p>
    <w:p>
      <w:pPr>
        <w:tabs>
          <w:tab w:val="left" w:pos="420"/>
          <w:tab w:val="left" w:pos="540"/>
          <w:tab w:val="left" w:pos="574"/>
        </w:tabs>
        <w:spacing w:line="360" w:lineRule="auto"/>
        <w:ind w:left="420"/>
        <w:outlineLvl w:val="0"/>
        <w:rPr>
          <w:rFonts w:ascii="宋体" w:hAnsi="宋体" w:cs="宋体"/>
          <w:b/>
          <w:bCs/>
        </w:rPr>
      </w:pPr>
      <w:r>
        <w:rPr>
          <w:rFonts w:ascii="宋体" w:hAnsi="宋体" w:cs="宋体"/>
          <w:b/>
          <w:bCs/>
        </w:rPr>
        <w:t>三、</w:t>
      </w:r>
      <w:r>
        <w:rPr>
          <w:rFonts w:hint="eastAsia" w:ascii="宋体" w:hAnsi="宋体" w:cs="宋体"/>
          <w:b/>
          <w:bCs/>
        </w:rPr>
        <w:t>项目概况</w:t>
      </w:r>
    </w:p>
    <w:p>
      <w:pPr>
        <w:widowControl/>
        <w:tabs>
          <w:tab w:val="left" w:pos="424"/>
        </w:tabs>
        <w:spacing w:line="360" w:lineRule="auto"/>
        <w:ind w:firstLine="420" w:firstLineChars="200"/>
        <w:jc w:val="left"/>
        <w:rPr>
          <w:rFonts w:hAnsi="宋体"/>
          <w:kern w:val="28"/>
        </w:rPr>
      </w:pPr>
      <w:r>
        <w:rPr>
          <w:rFonts w:hint="eastAsia" w:ascii="宋体" w:hAnsi="Times New Roman" w:cs="宋体"/>
        </w:rPr>
        <w:t>1.本次</w:t>
      </w:r>
      <w:r>
        <w:rPr>
          <w:rFonts w:hint="eastAsia" w:ascii="宋体" w:hAnsi="Times New Roman" w:cs="宋体"/>
          <w:lang w:val="en-US" w:eastAsia="zh-CN"/>
        </w:rPr>
        <w:t>询价</w:t>
      </w:r>
      <w:r>
        <w:rPr>
          <w:rFonts w:hint="eastAsia" w:ascii="宋体" w:hAnsi="Times New Roman" w:cs="宋体"/>
        </w:rPr>
        <w:t>项目范围：</w:t>
      </w:r>
      <w:r>
        <w:rPr>
          <w:rFonts w:hint="eastAsia"/>
          <w:lang w:eastAsia="zh-CN"/>
        </w:rPr>
        <w:t>《</w:t>
      </w:r>
      <w:r>
        <w:rPr>
          <w:rFonts w:hint="eastAsia"/>
          <w:lang w:val="en-US" w:eastAsia="zh-CN"/>
        </w:rPr>
        <w:t>医药市场营销</w:t>
      </w:r>
      <w:r>
        <w:rPr>
          <w:rFonts w:hint="eastAsia"/>
          <w:lang w:eastAsia="zh-CN"/>
        </w:rPr>
        <w:t>》</w:t>
      </w:r>
      <w:r>
        <w:rPr>
          <w:rFonts w:hint="eastAsia"/>
          <w:lang w:val="en-US" w:eastAsia="zh-CN"/>
        </w:rPr>
        <w:t>优质课程教学资源开发与升级</w:t>
      </w:r>
      <w:r>
        <w:rPr>
          <w:rFonts w:hint="eastAsia" w:ascii="宋体" w:hAnsi="Times New Roman" w:cs="宋体"/>
          <w:bCs/>
          <w:szCs w:val="20"/>
        </w:rPr>
        <w:t>。</w:t>
      </w:r>
    </w:p>
    <w:p>
      <w:pPr>
        <w:widowControl/>
        <w:tabs>
          <w:tab w:val="left" w:pos="424"/>
        </w:tabs>
        <w:spacing w:line="360" w:lineRule="auto"/>
        <w:ind w:firstLine="210" w:firstLineChars="100"/>
        <w:jc w:val="left"/>
        <w:rPr>
          <w:rFonts w:ascii="宋体" w:hAnsi="Times New Roman" w:cs="宋体"/>
        </w:rPr>
      </w:pPr>
      <w:r>
        <w:rPr>
          <w:rFonts w:hint="eastAsia" w:ascii="宋体" w:hAnsi="Times New Roman" w:cs="宋体"/>
        </w:rPr>
        <w:t>▲2.成交供应商不得以任何方式转包或分包本项目。</w:t>
      </w:r>
    </w:p>
    <w:p>
      <w:pPr>
        <w:widowControl/>
        <w:tabs>
          <w:tab w:val="left" w:pos="424"/>
        </w:tabs>
        <w:spacing w:line="360" w:lineRule="auto"/>
        <w:ind w:firstLine="210" w:firstLineChars="100"/>
        <w:jc w:val="left"/>
        <w:rPr>
          <w:rFonts w:ascii="宋体" w:hAnsi="Times New Roman" w:cs="宋体"/>
        </w:rPr>
      </w:pPr>
      <w:r>
        <w:rPr>
          <w:rFonts w:hint="eastAsia" w:ascii="宋体" w:hAnsi="Times New Roman" w:cs="宋体"/>
        </w:rPr>
        <w:t>▲3.供应商所提供服务内容及技术参数等不能低于询价文件所提出的要求。</w:t>
      </w:r>
    </w:p>
    <w:p>
      <w:pPr>
        <w:widowControl/>
        <w:tabs>
          <w:tab w:val="left" w:pos="424"/>
        </w:tabs>
        <w:spacing w:line="360" w:lineRule="auto"/>
        <w:ind w:firstLine="210" w:firstLineChars="100"/>
        <w:jc w:val="left"/>
        <w:rPr>
          <w:rFonts w:ascii="宋体" w:hAnsi="宋体" w:cs="宋体"/>
          <w:b/>
          <w:bCs/>
        </w:rPr>
      </w:pPr>
      <w:r>
        <w:rPr>
          <w:rFonts w:hint="eastAsia" w:ascii="宋体" w:hAnsi="Times New Roman" w:cs="宋体"/>
        </w:rPr>
        <w:t>▲4. 一个学期内，供应商存在无正当理由被投诉二次（含二次）以上或被给予采购项目质量评价一次差评的，将被列入供应商不良行为。供应商若存在不良行为，本单位可终止本项目合同，或曝光其不良行为，或禁止该供应商一至三年内不得参与本单位的一切校内采购活动。</w:t>
      </w:r>
      <w:bookmarkStart w:id="7" w:name="_Hlk70344164"/>
    </w:p>
    <w:p>
      <w:pPr>
        <w:tabs>
          <w:tab w:val="left" w:pos="420"/>
          <w:tab w:val="left" w:pos="540"/>
          <w:tab w:val="left" w:pos="574"/>
        </w:tabs>
        <w:spacing w:line="360" w:lineRule="auto"/>
        <w:ind w:firstLine="422" w:firstLineChars="200"/>
        <w:outlineLvl w:val="0"/>
        <w:rPr>
          <w:rFonts w:ascii="宋体" w:hAnsi="宋体" w:cs="宋体"/>
          <w:sz w:val="24"/>
          <w:szCs w:val="24"/>
        </w:rPr>
      </w:pPr>
      <w:r>
        <w:rPr>
          <w:rFonts w:ascii="宋体" w:hAnsi="宋体" w:cs="宋体"/>
          <w:b/>
          <w:bCs/>
        </w:rPr>
        <w:t>四、</w:t>
      </w:r>
      <w:r>
        <w:rPr>
          <w:rFonts w:hint="eastAsia" w:ascii="宋体" w:hAnsi="宋体" w:cs="宋体"/>
          <w:b/>
          <w:bCs/>
        </w:rPr>
        <w:t>服务清单</w:t>
      </w:r>
      <w:bookmarkEnd w:id="7"/>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636"/>
        <w:gridCol w:w="1844"/>
        <w:gridCol w:w="2537"/>
        <w:gridCol w:w="473"/>
        <w:gridCol w:w="473"/>
        <w:gridCol w:w="1054"/>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8" w:type="pct"/>
            <w:vAlign w:val="center"/>
          </w:tcPr>
          <w:p>
            <w:pPr>
              <w:snapToGrid w:val="0"/>
              <w:jc w:val="center"/>
            </w:pPr>
            <w:r>
              <w:rPr>
                <w:rFonts w:hint="eastAsia"/>
              </w:rPr>
              <w:t>项号</w:t>
            </w:r>
          </w:p>
        </w:tc>
        <w:tc>
          <w:tcPr>
            <w:tcW w:w="360" w:type="pct"/>
            <w:vAlign w:val="center"/>
          </w:tcPr>
          <w:p>
            <w:pPr>
              <w:snapToGrid w:val="0"/>
              <w:jc w:val="center"/>
            </w:pPr>
            <w:r>
              <w:rPr>
                <w:rFonts w:hint="eastAsia"/>
                <w:lang w:val="en-US" w:eastAsia="zh-CN"/>
              </w:rPr>
              <w:t>服务</w:t>
            </w:r>
            <w:r>
              <w:rPr>
                <w:rFonts w:hint="eastAsia"/>
              </w:rPr>
              <w:t>名称</w:t>
            </w:r>
          </w:p>
        </w:tc>
        <w:tc>
          <w:tcPr>
            <w:tcW w:w="2575" w:type="pct"/>
            <w:gridSpan w:val="2"/>
            <w:vAlign w:val="center"/>
          </w:tcPr>
          <w:p>
            <w:pPr>
              <w:snapToGrid w:val="0"/>
              <w:jc w:val="center"/>
            </w:pPr>
            <w:r>
              <w:rPr>
                <w:rFonts w:hint="eastAsia"/>
              </w:rPr>
              <w:t>技术参数要求</w:t>
            </w:r>
          </w:p>
        </w:tc>
        <w:tc>
          <w:tcPr>
            <w:tcW w:w="279" w:type="pct"/>
            <w:vAlign w:val="center"/>
          </w:tcPr>
          <w:p>
            <w:pPr>
              <w:snapToGrid w:val="0"/>
              <w:jc w:val="center"/>
            </w:pPr>
            <w:r>
              <w:rPr>
                <w:rFonts w:hint="eastAsia"/>
              </w:rPr>
              <w:t>数量</w:t>
            </w:r>
          </w:p>
        </w:tc>
        <w:tc>
          <w:tcPr>
            <w:tcW w:w="279" w:type="pct"/>
            <w:vAlign w:val="center"/>
          </w:tcPr>
          <w:p>
            <w:pPr>
              <w:snapToGrid w:val="0"/>
              <w:jc w:val="center"/>
            </w:pPr>
            <w:r>
              <w:rPr>
                <w:rFonts w:hint="eastAsia"/>
              </w:rPr>
              <w:t>单位</w:t>
            </w:r>
          </w:p>
        </w:tc>
        <w:tc>
          <w:tcPr>
            <w:tcW w:w="620" w:type="pct"/>
            <w:vAlign w:val="center"/>
          </w:tcPr>
          <w:p>
            <w:pPr>
              <w:snapToGrid w:val="0"/>
              <w:jc w:val="center"/>
            </w:pPr>
            <w:r>
              <w:rPr>
                <w:rFonts w:hint="eastAsia"/>
              </w:rPr>
              <w:t>单价</w:t>
            </w:r>
          </w:p>
          <w:p>
            <w:pPr>
              <w:snapToGrid w:val="0"/>
              <w:jc w:val="center"/>
            </w:pPr>
            <w:r>
              <w:rPr>
                <w:rFonts w:hint="eastAsia"/>
              </w:rPr>
              <w:t>（元</w:t>
            </w:r>
            <w:r>
              <w:t>）</w:t>
            </w:r>
          </w:p>
        </w:tc>
        <w:tc>
          <w:tcPr>
            <w:tcW w:w="627" w:type="pct"/>
            <w:vAlign w:val="center"/>
          </w:tcPr>
          <w:p>
            <w:pPr>
              <w:snapToGrid w:val="0"/>
              <w:jc w:val="center"/>
            </w:pPr>
            <w:r>
              <w:rPr>
                <w:rFonts w:hint="eastAsia"/>
              </w:rPr>
              <w:t>合计价格</w:t>
            </w:r>
          </w:p>
          <w:p>
            <w:pPr>
              <w:snapToGrid w:val="0"/>
              <w:jc w:val="center"/>
            </w:pPr>
            <w:r>
              <w:rPr>
                <w:rFonts w:hint="eastAsia"/>
              </w:rPr>
              <w:t>（元</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8" w:type="pct"/>
            <w:vAlign w:val="center"/>
          </w:tcPr>
          <w:p>
            <w:pPr>
              <w:snapToGrid w:val="0"/>
              <w:jc w:val="center"/>
            </w:pPr>
            <w:r>
              <w:rPr>
                <w:rFonts w:hint="eastAsia"/>
                <w:lang w:bidi="ar"/>
              </w:rPr>
              <w:t>1</w:t>
            </w:r>
          </w:p>
        </w:tc>
        <w:tc>
          <w:tcPr>
            <w:tcW w:w="360" w:type="pct"/>
            <w:vAlign w:val="center"/>
          </w:tcPr>
          <w:p>
            <w:pPr>
              <w:rPr>
                <w:rFonts w:hint="eastAsia"/>
                <w:lang w:val="en-US" w:eastAsia="zh-CN"/>
              </w:rPr>
            </w:pPr>
            <w:r>
              <w:rPr>
                <w:rFonts w:hint="eastAsia"/>
                <w:lang w:eastAsia="zh-CN"/>
              </w:rPr>
              <w:t>《</w:t>
            </w:r>
            <w:r>
              <w:rPr>
                <w:rFonts w:hint="eastAsia"/>
                <w:lang w:val="en-US" w:eastAsia="zh-CN"/>
              </w:rPr>
              <w:t>医药市场营销</w:t>
            </w:r>
            <w:r>
              <w:rPr>
                <w:rFonts w:hint="eastAsia"/>
                <w:lang w:eastAsia="zh-CN"/>
              </w:rPr>
              <w:t>》</w:t>
            </w:r>
            <w:r>
              <w:rPr>
                <w:rFonts w:hint="eastAsia"/>
                <w:lang w:val="en-US" w:eastAsia="zh-CN"/>
              </w:rPr>
              <w:t>优质课程教学资源开发与升级</w:t>
            </w:r>
          </w:p>
          <w:p>
            <w:pPr>
              <w:snapToGrid w:val="0"/>
              <w:jc w:val="center"/>
              <w:rPr>
                <w:rFonts w:hint="default" w:eastAsia="宋体"/>
                <w:lang w:val="en-US" w:eastAsia="zh-CN"/>
              </w:rPr>
            </w:pPr>
          </w:p>
        </w:tc>
        <w:tc>
          <w:tcPr>
            <w:tcW w:w="2575" w:type="pct"/>
            <w:gridSpan w:val="2"/>
            <w:vAlign w:val="center"/>
          </w:tcPr>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一、课程知识图谱建构</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基于课程内容，构建课程知识图谱，明确知识点之间的逻辑关系，形成系统化、可视化的知识体系，便于教学与学习。知识图谱将支持个性化推荐与路径导航，帮助学生按需学习，提高学习效率。</w:t>
            </w:r>
            <w:r>
              <w:rPr>
                <w:rFonts w:hint="eastAsia" w:ascii="宋体" w:hAnsi="宋体" w:cs="宋体"/>
                <w:szCs w:val="21"/>
                <w:lang w:bidi="zh-CN"/>
              </w:rPr>
              <w:t>具体需求如下：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1.1明确领域范围与目标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确定领域范围：明确知识建模的领域范围，界定本体需要包含哪些实体、属性和关系。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设定建设目标：明确知识体系构建的目标，如提高教学效率、支持决策制定、促进知识共享等。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1.2 知识梳理与分类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1）知识采集：通过教科书、教学大纲、期刊、网络资源、专家咨询等多种渠道收集领域内的知识。确保收集到的知识具有权威性和准确性。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2）知识梳理：将收集到的知识进行梳理，去除重复和冗余的信息。同时，根据知识的逻辑关系和层次结构进行分类和整理。</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3）建立分类体系：根据知识的属性和特征，建立合理的分类体系。例如，在计算机科学领域，可以将知识分为理论基础、编程技术、系统开发等多个类别。</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1.3 定义实体与关系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1）识别实体：在知识体系中，实体通常指具有明确意义和独立存在性的知识单元，如概念、定理、公式等。需要明确识别出这些实体，并为它们分配唯一的标识符。</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2）确定关系：实体之间存在一定的关系，如依赖关系、包含关系、相似关系等。确保关系的层次性、逻辑性和连贯性，明确知识点之间的先决条件、相关联系及其在学习过程中的作用。</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3）属性标记：标记特定实体的属性信息，如知识点的难度、重要性、适用对象、教学个性化场景应用标签等。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1.4 构建知识体系框架</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1）选择建模方法：根据领域特点和实际需求，选择合适的建模方法。常见的建模方法包括自顶向下和自底向上两种途径。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2）构建框架：根框架应包含主要的知识类别、子类别以及它们之间的关系。在构建过程中，需要不断调整和优化框架结构，以确保其合理性和有效性。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1.5 知识填充与验证</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1）知识填充：将梳理好的知识填充到知识体系框架中。在填充过程中，需要确保知识的准确性和完整性，并避免重复和冗余。</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2）知识验证：对填充后的知识体系进行验证，检查其是否存在逻辑错误、关系混乱等问题。可以通过专家评审、用户反馈等方式进行验证，并根据反馈结果进行修正和优化。</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1.6 知识图谱构建与优化</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1）构建知识图谱：基于知识体系框架和填充的知识，构建知识图谱。知识图谱应能够直观地展示知识之间的关联和层次结构。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2）优化图谱结构：根据实际应用需求，不断优化知识图谱的结构和布局。例如，可以通过聚类分析、路径优化等方法提高图谱的可读性和可用性。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1.7 课程知识图谱建设标准</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1）单个学分核心知识点数量建议范围为50-80个；</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2）单个知识点平均学习资源任务点关联数量不少于3个</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3）单个知识点平均事体关联数量不少于3题；</w:t>
            </w:r>
          </w:p>
          <w:p>
            <w:pPr>
              <w:widowControl/>
              <w:autoSpaceDE w:val="0"/>
              <w:autoSpaceDN w:val="0"/>
              <w:snapToGrid w:val="0"/>
              <w:textAlignment w:val="top"/>
              <w:rPr>
                <w:rFonts w:ascii="宋体" w:hAnsi="宋体" w:cs="宋体"/>
                <w:szCs w:val="21"/>
                <w:lang w:bidi="zh-CN"/>
              </w:rPr>
            </w:pPr>
            <w:r>
              <w:rPr>
                <w:rFonts w:hint="eastAsia" w:ascii="宋体" w:hAnsi="宋体" w:cs="宋体"/>
                <w:szCs w:val="21"/>
                <w:lang w:bidi="zh-CN"/>
              </w:rPr>
              <w:t>4）知识点逻辑关系梳理与属性标签标记应符合课程目标与学生的认知水平。</w:t>
            </w:r>
          </w:p>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二、课程问题图谱建构</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围绕课程中的核心问题与难点，构建问题图谱，帮助学生梳理问题逻辑，逐步引导学生解决复杂问题。问题图谱还将整合问题的不同解法与案例分析，拓宽学生的思维视野，培养创新思维与解决实际问题的能力。</w:t>
            </w:r>
            <w:r>
              <w:rPr>
                <w:rFonts w:hint="eastAsia" w:ascii="宋体" w:hAnsi="宋体" w:cs="宋体"/>
                <w:szCs w:val="21"/>
                <w:lang w:bidi="zh-CN"/>
              </w:rPr>
              <w:t>具体建构要求如下：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2.1</w:t>
            </w:r>
            <w:r>
              <w:rPr>
                <w:rFonts w:ascii="宋体" w:hAnsi="宋体" w:cs="宋体"/>
                <w:szCs w:val="21"/>
                <w:lang w:bidi="zh-CN"/>
              </w:rPr>
              <w:t>核心问题提炼</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通过深入分析课程大纲与教学目标，梳理出课程的关键知识点、核心概念与重要技能，确定课程的最终学习目标。</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结合</w:t>
            </w:r>
            <w:r>
              <w:rPr>
                <w:rFonts w:hint="eastAsia" w:ascii="宋体" w:hAnsi="宋体" w:cs="宋体"/>
                <w:szCs w:val="21"/>
                <w:lang w:bidi="zh-CN"/>
              </w:rPr>
              <w:t>课程团队教师</w:t>
            </w:r>
            <w:r>
              <w:rPr>
                <w:rFonts w:ascii="宋体" w:hAnsi="宋体" w:cs="宋体"/>
                <w:szCs w:val="21"/>
                <w:lang w:bidi="zh-CN"/>
              </w:rPr>
              <w:t>和学生的学习反馈，识别课程内容中的重点与难点，关注学生在学习过程中易混淆或理解困难的知识点，确保问题的代表性与挑战性。</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将课程目标与难点转化为清晰具体的问题表述，使核心问题具备概括性和启发性，能够引导学生围绕核心内容开展思考与学习。</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2.2 </w:t>
            </w:r>
            <w:r>
              <w:rPr>
                <w:rFonts w:ascii="宋体" w:hAnsi="宋体" w:cs="宋体"/>
                <w:szCs w:val="21"/>
                <w:lang w:bidi="zh-CN"/>
              </w:rPr>
              <w:t>分解核心问题</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w:t>
            </w:r>
            <w:r>
              <w:rPr>
                <w:rFonts w:ascii="宋体" w:hAnsi="宋体" w:cs="宋体"/>
                <w:szCs w:val="21"/>
                <w:lang w:bidi="zh-CN"/>
              </w:rPr>
              <w:t>分解的过程首先需要明确核心问题的关键要素，找出解决核心问题所需的主要知识模块、方法路径或思维步骤。</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w:t>
            </w:r>
            <w:r>
              <w:rPr>
                <w:rFonts w:ascii="宋体" w:hAnsi="宋体" w:cs="宋体"/>
                <w:szCs w:val="21"/>
                <w:lang w:bidi="zh-CN"/>
              </w:rPr>
              <w:t>根据这些要素，将核心问题划分为2到4个逻辑清晰的分支，形成层次分明的二级支撑问题。</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w:t>
            </w:r>
            <w:r>
              <w:rPr>
                <w:rFonts w:ascii="宋体" w:hAnsi="宋体" w:cs="宋体"/>
                <w:szCs w:val="21"/>
                <w:lang w:bidi="zh-CN"/>
              </w:rPr>
              <w:t>每个二级问题都应围绕核心问题展开，涵盖其不同方面或解决路径，确保知识点与思维过程的完整性。同时，注意二级问题之间的逻辑关系，保证分解过程条理清晰、不重叠、不遗漏，形成结构化的支撑框架。</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2.3 </w:t>
            </w:r>
            <w:r>
              <w:rPr>
                <w:rFonts w:ascii="宋体" w:hAnsi="宋体" w:cs="宋体"/>
                <w:szCs w:val="21"/>
                <w:lang w:bidi="zh-CN"/>
              </w:rPr>
              <w:t>细化支撑问题</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w:t>
            </w:r>
            <w:r>
              <w:rPr>
                <w:rFonts w:ascii="宋体" w:hAnsi="宋体" w:cs="宋体"/>
                <w:szCs w:val="21"/>
                <w:lang w:bidi="zh-CN"/>
              </w:rPr>
              <w:t>在分解核心问题的基础上，针对每个二级支撑问题进一步细化，生成具体的三级支撑问题。</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w:t>
            </w:r>
            <w:r>
              <w:rPr>
                <w:rFonts w:ascii="宋体" w:hAnsi="宋体" w:cs="宋体"/>
                <w:szCs w:val="21"/>
                <w:lang w:bidi="zh-CN"/>
              </w:rPr>
              <w:t>分析每个二级问题的解决路径，将这些路径转化为可操作的具体问题，逐步引导学生理解二级问题的解决过程。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w:t>
            </w:r>
            <w:r>
              <w:rPr>
                <w:rFonts w:ascii="宋体" w:hAnsi="宋体" w:cs="宋体"/>
                <w:szCs w:val="21"/>
                <w:lang w:bidi="zh-CN"/>
              </w:rPr>
              <w:t>三级问题应更加细致和具体，能够拆解复杂问题中的关键步骤，帮助学生循序渐进地掌握知识与方法。</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w:t>
            </w:r>
            <w:r>
              <w:rPr>
                <w:rFonts w:ascii="宋体" w:hAnsi="宋体" w:cs="宋体"/>
                <w:szCs w:val="21"/>
                <w:lang w:bidi="zh-CN"/>
              </w:rPr>
              <w:t>确保三级问题之间的逻辑性和支撑性，使其能够有效支撑二级问题的解决，形成完整的三级嵌套结构。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2.4 </w:t>
            </w:r>
            <w:r>
              <w:rPr>
                <w:rFonts w:ascii="宋体" w:hAnsi="宋体" w:cs="宋体"/>
                <w:szCs w:val="21"/>
                <w:lang w:bidi="zh-CN"/>
              </w:rPr>
              <w:t>逻辑结构优化</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w:t>
            </w:r>
            <w:r>
              <w:rPr>
                <w:rFonts w:ascii="宋体" w:hAnsi="宋体" w:cs="宋体"/>
                <w:szCs w:val="21"/>
                <w:lang w:bidi="zh-CN"/>
              </w:rPr>
              <w:t>自上而下检查核心问题、二级问题和三级问题之间的递进关系，确保每一级问题都围绕上一级问题展开，形成清晰的逻辑链条</w:t>
            </w:r>
            <w:r>
              <w:rPr>
                <w:rFonts w:hint="eastAsia" w:ascii="宋体" w:hAnsi="宋体" w:cs="宋体"/>
                <w:szCs w:val="21"/>
                <w:lang w:bidi="zh-CN"/>
              </w:rPr>
              <w:t>。</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w:t>
            </w:r>
            <w:r>
              <w:rPr>
                <w:rFonts w:ascii="宋体" w:hAnsi="宋体" w:cs="宋体"/>
                <w:szCs w:val="21"/>
                <w:lang w:bidi="zh-CN"/>
              </w:rPr>
              <w:t>自下而上验证三级问题对二级问题的支撑性，二级问题对核心问题的解决性，确保问题层级之间的紧密关联。</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2.5 </w:t>
            </w:r>
            <w:r>
              <w:rPr>
                <w:rFonts w:ascii="宋体" w:hAnsi="宋体" w:cs="宋体"/>
                <w:szCs w:val="21"/>
                <w:lang w:bidi="zh-CN"/>
              </w:rPr>
              <w:t>融入多解法与案例</w:t>
            </w:r>
          </w:p>
          <w:p>
            <w:pPr>
              <w:widowControl/>
              <w:autoSpaceDE w:val="0"/>
              <w:autoSpaceDN w:val="0"/>
              <w:snapToGrid w:val="0"/>
              <w:textAlignment w:val="top"/>
              <w:rPr>
                <w:rFonts w:ascii="宋体" w:hAnsi="宋体" w:cs="宋体"/>
                <w:szCs w:val="21"/>
                <w:lang w:bidi="zh-CN"/>
              </w:rPr>
            </w:pPr>
            <w:r>
              <w:rPr>
                <w:rFonts w:ascii="宋体" w:hAnsi="宋体" w:cs="宋体"/>
                <w:szCs w:val="21"/>
                <w:lang w:bidi="zh-CN"/>
              </w:rPr>
              <w:t>在优化逻辑结构的基础上，进一步为核心问题及其支撑问题提供多种解法与典型案例，拓展学生的思维视角，提升其解决问题的能力</w:t>
            </w:r>
            <w:r>
              <w:rPr>
                <w:rFonts w:hint="eastAsia" w:ascii="宋体" w:hAnsi="宋体" w:cs="宋体"/>
                <w:szCs w:val="21"/>
                <w:lang w:bidi="zh-CN"/>
              </w:rPr>
              <w:t>。</w:t>
            </w:r>
          </w:p>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三、课程目标图谱建构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以专业人才培养</w:t>
            </w:r>
            <w:r>
              <w:rPr>
                <w:rFonts w:ascii="宋体" w:hAnsi="宋体" w:cs="宋体"/>
                <w:szCs w:val="21"/>
                <w:lang w:bidi="zh-CN"/>
              </w:rPr>
              <w:t>将课程目标进行分层与分解，确保教学目标与教学内容、评价体系有机衔接。目标图谱将为课程设计、教学实施与学习评价提供可视化支撑，确保各环节的目标一致性。</w:t>
            </w:r>
            <w:r>
              <w:rPr>
                <w:rFonts w:hint="eastAsia" w:ascii="宋体" w:hAnsi="宋体" w:cs="宋体"/>
                <w:szCs w:val="21"/>
                <w:lang w:bidi="zh-CN"/>
              </w:rPr>
              <w:t>具体建设要求如下：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3.1</w:t>
            </w:r>
            <w:r>
              <w:rPr>
                <w:rFonts w:ascii="宋体" w:hAnsi="宋体" w:cs="宋体"/>
                <w:szCs w:val="21"/>
                <w:lang w:bidi="zh-CN"/>
              </w:rPr>
              <w:t>提炼课程总目标</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分析课程标准与大纲：深入解读</w:t>
            </w:r>
            <w:r>
              <w:rPr>
                <w:rFonts w:hint="eastAsia" w:ascii="宋体" w:hAnsi="宋体" w:cs="宋体"/>
                <w:szCs w:val="21"/>
                <w:lang w:bidi="zh-CN"/>
              </w:rPr>
              <w:t>国家</w:t>
            </w:r>
            <w:r>
              <w:rPr>
                <w:rFonts w:ascii="宋体" w:hAnsi="宋体" w:cs="宋体"/>
                <w:szCs w:val="21"/>
                <w:lang w:bidi="zh-CN"/>
              </w:rPr>
              <w:t>标准</w:t>
            </w:r>
            <w:r>
              <w:rPr>
                <w:rFonts w:hint="eastAsia" w:ascii="宋体" w:hAnsi="宋体" w:cs="宋体"/>
                <w:szCs w:val="21"/>
                <w:lang w:bidi="zh-CN"/>
              </w:rPr>
              <w:t>与学校专业人才培养目标</w:t>
            </w:r>
            <w:r>
              <w:rPr>
                <w:rFonts w:ascii="宋体" w:hAnsi="宋体" w:cs="宋体"/>
                <w:szCs w:val="21"/>
                <w:lang w:bidi="zh-CN"/>
              </w:rPr>
              <w:t>，梳理课程的核心素养、学科能力与发展目标。</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明确三维目标：将课程目标分为知识与技能（学会什么）、过程与方法（如何学会）、情感态度与价值观（价值引导与素养提升）三大类，形成课程总目标。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3.2 </w:t>
            </w:r>
            <w:r>
              <w:rPr>
                <w:rFonts w:ascii="宋体" w:hAnsi="宋体" w:cs="宋体"/>
                <w:szCs w:val="21"/>
                <w:lang w:bidi="zh-CN"/>
              </w:rPr>
              <w:t>分解课程总目标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w:t>
            </w:r>
            <w:r>
              <w:rPr>
                <w:rFonts w:ascii="宋体" w:hAnsi="宋体" w:cs="宋体"/>
                <w:szCs w:val="21"/>
                <w:lang w:bidi="zh-CN"/>
              </w:rPr>
              <w:t>确定知识模块：根据课程内容与逻辑，将知识结构划分为若干模块，确保覆盖课程整体目标。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w:t>
            </w:r>
            <w:r>
              <w:rPr>
                <w:rFonts w:ascii="宋体" w:hAnsi="宋体" w:cs="宋体"/>
                <w:szCs w:val="21"/>
                <w:lang w:bidi="zh-CN"/>
              </w:rPr>
              <w:t>对照三维目标要求：为每个知识模块分配具体的知识与技能、过程与方法、情感态度与价值观子目标，形成对应的二级目标。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w:t>
            </w:r>
            <w:r>
              <w:rPr>
                <w:rFonts w:ascii="宋体" w:hAnsi="宋体" w:cs="宋体"/>
                <w:szCs w:val="21"/>
                <w:lang w:bidi="zh-CN"/>
              </w:rPr>
              <w:t>明确阶段性目标：针对不同教学单元或阶段，设定可衡量的、具体的子目标，确保目标分解合理且具有可操作性。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w:t>
            </w:r>
            <w:r>
              <w:rPr>
                <w:rFonts w:ascii="宋体" w:hAnsi="宋体" w:cs="宋体"/>
                <w:szCs w:val="21"/>
                <w:lang w:bidi="zh-CN"/>
              </w:rPr>
              <w:t>保持整体性与逻辑性：二级目标应紧扣总目标，且能体现不同模块之间的联系与层次。</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3.3 知识点关联课程目标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w:t>
            </w:r>
            <w:r>
              <w:rPr>
                <w:rFonts w:ascii="宋体" w:hAnsi="宋体" w:cs="宋体"/>
                <w:szCs w:val="21"/>
                <w:lang w:bidi="zh-CN"/>
              </w:rPr>
              <w:t>细化知识点目标：将知识模块中的具体内容转化为学生需要掌握的细节性目标，明确知识点的掌握程度与具体要求。</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2）对于每个知识模块，明确该模块所需达成的具体目标，从课程总目标到各个知识点，形成从宏观到微观的层级关系，确保课程内容的系统性与目标的可操作性。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 xml:space="preserve">3.4 </w:t>
            </w:r>
            <w:r>
              <w:rPr>
                <w:rFonts w:ascii="宋体" w:hAnsi="宋体" w:cs="宋体"/>
                <w:szCs w:val="21"/>
                <w:lang w:bidi="zh-CN"/>
              </w:rPr>
              <w:t>融入教学活动与评估设计</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1）课程目标图谱不仅是目标的呈现工具，还需与教学活动设计和评估体系紧密结合，确保目标的落地与达成。</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2）设计对应的教学活动：针对不同层级的目标，设计具体的教学活动与学习任务，使目标转化为可操作的课堂实践。</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3）设置评价标准：根据课程目标的不同层级与要求，制定科学的评价标准与方法，评估学生对目标的达成情况。</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4）动态调整与反馈：在教学实施过程中，根据学生的发展情况动态调整目标与活动，确保目标有效达成。</w:t>
            </w:r>
          </w:p>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四、课程思政图谱建构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融入课程思政元素，构建课程思政图谱，明确课程中思想政治教育的切入点与实施路径，实现价值引领与知识传授的有机结合。课程思政图谱将通过实际案例、情境任务等形式，潜移默化地实现思政育人目标。具体建构原则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4.1 与知识点教学有机融合：发挥思政教育在课程中的引领作用，确保思政元素与课程内容有机融合。供应商根据课程团队需求，对于有课程思政育人元素设计的质点进行标记。</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4.2 方向性原则：确保课程思政图谱的建设方向与党的教育方针、国家的育人目标保持一致。强调</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4.3 系统性原则：将课程思政图谱的建设视为一个系统工程，注重其整体性、相关性和动态性。整合校内外资源，形成协同育人的良好机制。</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4.4 求实性原则：根据学校自身的实际情况和学科特点，因地制宜地建设课程思政图谱。注重图谱的实用性和可操作性，确保能够真正服务于教学和育人工作。</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4.5 创新性原则：鼓励教师在建设课程思政图谱的过程中发挥创新思维，探索新的教学方法和手段。推动思政教育与学科教育的深度融合，形成具有学校特色的课程思政模式。</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4.6 学生中心原则：充分考虑学生的认知特点和发展需求，确保课程思政图谱的内容易于学生理解和接受。</w:t>
            </w:r>
          </w:p>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五、图谱运行平台支持</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为了确保课程知识图谱、问题图谱、目标图谱、思政图谱和个性图谱的有效运行和管理，</w:t>
            </w:r>
            <w:r>
              <w:rPr>
                <w:rFonts w:hint="eastAsia" w:ascii="宋体" w:hAnsi="宋体" w:cs="宋体"/>
                <w:szCs w:val="21"/>
                <w:lang w:bidi="zh-CN"/>
              </w:rPr>
              <w:t>课程供应商应提供课程</w:t>
            </w:r>
            <w:r>
              <w:rPr>
                <w:rFonts w:ascii="宋体" w:hAnsi="宋体" w:cs="宋体"/>
                <w:szCs w:val="21"/>
                <w:lang w:bidi="zh-CN"/>
              </w:rPr>
              <w:t>图谱运行平台。该平台</w:t>
            </w:r>
            <w:r>
              <w:rPr>
                <w:rFonts w:hint="eastAsia" w:ascii="宋体" w:hAnsi="宋体" w:cs="宋体"/>
                <w:szCs w:val="21"/>
                <w:lang w:bidi="zh-CN"/>
              </w:rPr>
              <w:t>能</w:t>
            </w:r>
            <w:r>
              <w:rPr>
                <w:rFonts w:ascii="宋体" w:hAnsi="宋体" w:cs="宋体"/>
                <w:szCs w:val="21"/>
                <w:lang w:bidi="zh-CN"/>
              </w:rPr>
              <w:t>提供图谱的存储、处理、分析和展示功能，支持教师和学生实时访问和互动。平台</w:t>
            </w:r>
            <w:r>
              <w:rPr>
                <w:rFonts w:hint="eastAsia" w:ascii="宋体" w:hAnsi="宋体" w:cs="宋体"/>
                <w:szCs w:val="21"/>
                <w:lang w:bidi="zh-CN"/>
              </w:rPr>
              <w:t>应至少满足以下需求</w:t>
            </w:r>
            <w:r>
              <w:rPr>
                <w:rFonts w:ascii="宋体" w:hAnsi="宋体" w:cs="宋体"/>
                <w:szCs w:val="21"/>
                <w:lang w:bidi="zh-CN"/>
              </w:rPr>
              <w:t>：</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5.1知识图谱建设</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1）</w:t>
            </w:r>
            <w:r>
              <w:rPr>
                <w:rFonts w:hint="eastAsia" w:ascii="宋体" w:hAnsi="宋体" w:cs="宋体"/>
                <w:szCs w:val="21"/>
                <w:lang w:bidi="zh-CN"/>
              </w:rPr>
              <w:t>支持搭建以课程结构为核心的知识图谱，并通过集中化的管理界面实现信息的融合与维护；</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2）</w:t>
            </w:r>
            <w:r>
              <w:rPr>
                <w:rFonts w:hint="eastAsia" w:ascii="宋体" w:hAnsi="宋体" w:cs="宋体"/>
                <w:szCs w:val="21"/>
                <w:lang w:bidi="zh-CN"/>
              </w:rPr>
              <w:t>引入分类/知识点概念，允许用户界定课程的分类和基本知识点，其中分类可以进一步划分为更细致的子分类和子知识点，这些知识点构成了知识体系的基础构件；</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w:t>
            </w:r>
            <w:r>
              <w:rPr>
                <w:rFonts w:ascii="宋体" w:hAnsi="宋体" w:cs="宋体"/>
                <w:szCs w:val="21"/>
                <w:lang w:bidi="zh-CN"/>
              </w:rPr>
              <w:t>3）</w:t>
            </w:r>
            <w:r>
              <w:rPr>
                <w:rFonts w:hint="eastAsia" w:ascii="宋体" w:hAnsi="宋体" w:cs="宋体"/>
                <w:szCs w:val="21"/>
                <w:lang w:bidi="zh-CN"/>
              </w:rPr>
              <w:t>支持用户搭建节点间自定义关系，从而创建一个灵活、动态的教育活动网络，满足日常教学活动的需求，增强教学互动性，促进知识的深入理解和应用；</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4）</w:t>
            </w:r>
            <w:r>
              <w:rPr>
                <w:rFonts w:hint="eastAsia" w:ascii="宋体" w:hAnsi="宋体" w:cs="宋体"/>
                <w:szCs w:val="21"/>
                <w:lang w:bidi="zh-CN"/>
              </w:rPr>
              <w:t>提供多样化的知识图谱构建工具，包括手工输入和大规模数据导入，允许用户深入编辑概念属性，以及调整它们在知识体系中的位置；</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5）</w:t>
            </w:r>
            <w:r>
              <w:rPr>
                <w:rFonts w:hint="eastAsia" w:ascii="宋体" w:hAnsi="宋体" w:cs="宋体"/>
                <w:szCs w:val="21"/>
                <w:lang w:bidi="zh-CN"/>
              </w:rPr>
              <w:t>支持上传教学资料，系统智能分析并构建知识图谱，简化用户操作；支持将思维导图文件转化为知识图谱，同时保留导出原有格式的能力，增强文件的互操作性；</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6）</w:t>
            </w:r>
            <w:r>
              <w:rPr>
                <w:rFonts w:hint="eastAsia" w:ascii="宋体" w:hAnsi="宋体" w:cs="宋体"/>
                <w:szCs w:val="21"/>
                <w:lang w:bidi="zh-CN"/>
              </w:rPr>
              <w:t>实现课程知识图谱与网络课程间的数据同步，便于资源共享和教学内容的一致性；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w:t>
            </w:r>
            <w:r>
              <w:rPr>
                <w:rFonts w:ascii="宋体" w:hAnsi="宋体" w:cs="宋体"/>
                <w:szCs w:val="21"/>
                <w:lang w:bidi="zh-CN"/>
              </w:rPr>
              <w:t>7）</w:t>
            </w:r>
            <w:r>
              <w:rPr>
                <w:rFonts w:hint="eastAsia" w:ascii="宋体" w:hAnsi="宋体" w:cs="宋体"/>
                <w:szCs w:val="21"/>
                <w:lang w:bidi="zh-CN"/>
              </w:rPr>
              <w:t>支持用户对课程章节一键转化知识图谱，并实现章节教学资源自动关联图谱知识点；</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8）</w:t>
            </w:r>
            <w:r>
              <w:rPr>
                <w:rFonts w:hint="eastAsia" w:ascii="宋体" w:hAnsi="宋体" w:cs="宋体"/>
                <w:szCs w:val="21"/>
                <w:lang w:bidi="zh-CN"/>
              </w:rPr>
              <w:t>提供富文本编辑器，支持用户添加详尽的说明和多媒体材料，同时能够调整概念的命名和描述，以增强信息的丰富性；</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9）</w:t>
            </w:r>
            <w:r>
              <w:rPr>
                <w:rFonts w:hint="eastAsia" w:ascii="宋体" w:hAnsi="宋体" w:cs="宋体"/>
                <w:szCs w:val="21"/>
                <w:lang w:bidi="zh-CN"/>
              </w:rPr>
              <w:t>支持根据课程内容的更新或需求变化，灵活修改分类名称，以及为分类添加具有指导性的描述，提供批量操作功能，支持用户将单个或多个知识点在知识结构中上下移动，以优化教学结构</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10）</w:t>
            </w:r>
            <w:r>
              <w:rPr>
                <w:rFonts w:hint="eastAsia" w:ascii="宋体" w:hAnsi="宋体" w:cs="宋体"/>
                <w:szCs w:val="21"/>
                <w:lang w:bidi="zh-CN"/>
              </w:rPr>
              <w:t>支持附加标签以增强知识点的分类和识别度，包括但不限于重点、难点以及考点等标签，同时支持用户自定义标签；</w:t>
            </w:r>
          </w:p>
          <w:p>
            <w:pPr>
              <w:widowControl/>
              <w:autoSpaceDE w:val="0"/>
              <w:autoSpaceDN w:val="0"/>
              <w:snapToGrid w:val="0"/>
              <w:textAlignment w:val="top"/>
              <w:rPr>
                <w:rFonts w:hint="eastAsia" w:ascii="宋体" w:hAnsi="宋体" w:cs="宋体"/>
                <w:szCs w:val="21"/>
                <w:lang w:bidi="zh-CN"/>
              </w:rPr>
            </w:pPr>
            <w:r>
              <w:rPr>
                <w:rFonts w:ascii="宋体" w:hAnsi="宋体" w:cs="宋体"/>
                <w:szCs w:val="21"/>
                <w:lang w:bidi="zh-CN"/>
              </w:rPr>
              <w:t>11）</w:t>
            </w:r>
            <w:r>
              <w:rPr>
                <w:rFonts w:hint="eastAsia" w:ascii="宋体" w:hAnsi="宋体" w:cs="宋体"/>
                <w:szCs w:val="21"/>
                <w:lang w:bidi="zh-CN"/>
              </w:rPr>
              <w:t>支持知识点设置多种分类属性，如事实性、概念性、程序性、元认知等，以支持更精细化的课程知识管理。</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▲12)支持设置知识点的关联关系，不仅限于本课程内部，还包括跨课程的连接，促进不同课程间的知识和资源的整合，实现跨课、跨学科学习；用户点击跨课程知识点，直接跳转到相关微课学习内容；</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5.2 问题图谱建设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1）支持根据多样化的教学场景需求，自定义问题层级板块名称和内容；</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▲2）支持对问题节点信息进行编辑，包括名称、描述、标签、教师参考答案，与上下层级问题的关联关系，以及与知识点间的关联关系。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3）提供两种子级内容关联方式，包括层级连线和板块关联功能，展示自定义内容间的层级结构；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4）支持对板块内容进行删除和批量删除，提升教学资源管理的效率；支持批量导入自定义内容和一键图谱数据，简化教学资源的准备工作；</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▲5）支持开启问题探索模式，模拟学生学习路径，用户自主构建核心内容与子级的知识网络，并通过与标准答案对比实现自我学习效果评估；</w:t>
            </w:r>
          </w:p>
          <w:p>
            <w:pPr>
              <w:widowControl/>
              <w:autoSpaceDE w:val="0"/>
              <w:autoSpaceDN w:val="0"/>
              <w:snapToGrid w:val="0"/>
              <w:textAlignment w:val="top"/>
              <w:rPr>
                <w:rFonts w:ascii="宋体" w:hAnsi="宋体" w:cs="宋体"/>
                <w:szCs w:val="21"/>
                <w:lang w:bidi="zh-CN"/>
              </w:rPr>
            </w:pPr>
            <w:r>
              <w:rPr>
                <w:rFonts w:hint="eastAsia" w:ascii="宋体" w:hAnsi="宋体" w:cs="宋体"/>
                <w:szCs w:val="21"/>
                <w:lang w:bidi="zh-CN"/>
              </w:rPr>
              <w:t>6）支持用户在图谱讨论区发起新话题，并获得相关积分奖励，激励学生参与讨论，通过交流深化理解，促进知识共享。</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5.3 思政图谱建设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1）支持基于课程思政的标签化知识点，自动生成具有象征意义的课程思政图谱；</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2）支持利用气泡、花苞和花朵等视觉元素，以创新的方式呈现课程的分类和知识点，提升信息的直观性和吸引力，支持将标签为“课程思政”的知识点以花苞形式呈现，以视觉突出其在课程中的核心地位；</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3）支持提供关键字精确搜索和模糊匹配两种模式，检索结果聚焦于与目标节点相关的逻辑联系；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4）支持搜索功能覆盖知识点、分类和标签，实现全面性，满足用户不同维度的搜索需求；</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5）支持通过点击操作，可深入分类卡片获取详细信息，或直接跳转至微课进行学习；</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5.4 目标图谱建设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1）支持根据不同班级特点定制课程目标图谱，支持为课程目标添加标签；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2）支持对课程目标进行详细说明，包括课程目标名称、标签、具体描述，支持二次修改；</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3）支持课程目标与知识点进行关联，以展示目标与教学内容的直接联系；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支持以柱状图展示课程目标关联知识点的个数，提供直观的统计信息；支持以列表形式展示课程目标总数、课程目标名称、课程目标说明、课程目标标签以及所关联的知识点个数；支持以图谱形式展示每个课程目标所关联的知识点情况，增强信息的可视化效果；</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5）提供一键同步功能，允许快速复制特定班级的课程目标和知识点关联，提高教学管理的效率；</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5.5 知识图谱展示</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▲1）学习地图模式：地图形式提供分类下知识点的学习路径展示，展示每个分类下的知识点总数，并支持基于学习地图的数据统计，如知识点详情、班级学情、班级对比、知识点学习统计等。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知识图谱模式：提供两种图谱展示视角，一种是导航模式，另一种是全局模式；导航模式下，图谱以一种集中的形态展示最高层级的分类或知识点，允许用户通过交互进一步探索其子级和它们之间的联系；全局模式下，图谱展开展示所有层级的节点，提供一个宏观的视角，使用户能够一目了然地理解整个知识体系的结构</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思维导图模式：提供多种思维导图结构选项，使用户能够根据需求选择不同的视觉表示方法，具体包括组织结构图、目录组织图、时间轴、鱼骨图等；支持创建包含多个层级的分类和知识点的大纲，并以思维导图的形式直观地展示它们之间的相互关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5.6 自定义图谱展示</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▲1）系统支持多种配色方案，包括标准、自定义、知识单元和层级配色，增强视觉区分和层次感</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▲2）用户可以根据个人喜好定制节点的外观，包括形状、颜色和字体样式，提供个性化的视觉体验</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▲3）支持用户自由绘制图谱，并通过视觉高亮的方式突出重点区域，帮助快速聚焦关键学习内容</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4）提供放射性、树状层级、环形布局和自定义布局等多种知识点布局方式，适应不同展示需求；</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5）清晰展示分类与知识点、分类与分类之间的关系，包括父子级、前后置、关联关系以及自定义关系；</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6）支持关键词搜索和模糊匹配，帮助用户迅速找到特定知识点或分类，并展示相关信息</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▲7）在视频内容中智能标记知识点，并以词云形式展示，增强知识点的可视化，允许学生在视频播放时定位到特定知识点的讲解，提升学习针对性；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5.7 知识点微课建设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1）支持基于知识点组织线上学习内容，支持在学习内容中嵌入多种格式的资源，如多媒体文件、图像、文档、互动测验和讨论板块等，支持本地上传、章节引用、关联课程资源栏目、关联图书馆资源等；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支持以列表形式呈现与知识点相关联的多种资源类型，涵盖知识词条、学术期刊、图书、学术视频资源等，为用户提供全面的知识视角。相关电子图书、期刊、学术视频应无版权问题，供应商应提供相应内容的版权作证材料。</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▲3）支持基于知识点设计自测，用户可根据需求自定义自测模式、时间限制和题目来源，创建个性化的自测体验；</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4）支持按班级查看知识点详细统计数据，包括知识点完成率、掌握率，知识点学习资源统计，学生学情统计等。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5）支持用户在微课中自主发起讨论，通过输入标题和内容，并可借助图片和链接等多媒体元素丰富讨论的表达；用户可以对他人发起的讨论进行回应，推动话题的深入交流和知识共享。</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课程思政内容支持：供应商能为学校课程建设提供课程思政模块库，能辅助教师在备课过程中精准梳理思政育人元素。相关思政育人元素应至少包含：核心价值观、模范人物、创新成果、先进文化、科学精神、职业精神、历史征程等模块。相关课程知识点若包含课程思政育人元素，应在知识图谱中进行标记，以便观测课程思政育人效果。</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5.8 图谱统计分析</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整体学情分析：支持用户查看班级知识点表现，保存统计快照，检索特定学习节点，并从多角度分析课程。课程总览提供多维视角，包括知识点统计和热门知识点词云展示。知识点学习情况通过图形化展示，支持深入分析和比较学生表现。知识图谱直观展示知识点完成度和掌握度，提供学生个体学习视图。</w:t>
            </w:r>
          </w:p>
          <w:p>
            <w:pPr>
              <w:widowControl/>
              <w:autoSpaceDE w:val="0"/>
              <w:autoSpaceDN w:val="0"/>
              <w:snapToGrid w:val="0"/>
              <w:textAlignment w:val="top"/>
              <w:rPr>
                <w:rFonts w:ascii="宋体" w:hAnsi="宋体" w:cs="宋体"/>
                <w:szCs w:val="21"/>
                <w:lang w:bidi="zh-CN"/>
              </w:rPr>
            </w:pPr>
            <w:r>
              <w:rPr>
                <w:rFonts w:hint="eastAsia" w:ascii="宋体" w:hAnsi="宋体" w:cs="宋体"/>
                <w:szCs w:val="21"/>
                <w:lang w:bidi="zh-CN"/>
              </w:rPr>
              <w:t>2）知识点学情分析：通过分类卡片展示关键信息，用户可点击进入详细页面，全面了解知识点各方面。卡片支持同层级分类间切换，比较不同分类。展示知识点与资源关联，揭示内容丰富度，提供微课入口和知识点标签，识别关键学习领域。饼图和图表辅助理解知识点属性分类和资源分配。支持按班级展示知识点掌握率和完成率，反映学习成效。同时，展示分类资源归属和班级资源差异化视图，适应不同教学需求。</w:t>
            </w:r>
          </w:p>
          <w:p>
            <w:pPr>
              <w:widowControl/>
              <w:autoSpaceDE w:val="0"/>
              <w:autoSpaceDN w:val="0"/>
              <w:snapToGrid w:val="0"/>
              <w:textAlignment w:val="top"/>
              <w:rPr>
                <w:rFonts w:hint="eastAsia" w:ascii="宋体" w:hAnsi="宋体" w:cs="宋体"/>
                <w:szCs w:val="21"/>
                <w:lang w:bidi="zh-CN"/>
              </w:rPr>
            </w:pPr>
            <w:r>
              <w:rPr>
                <w:rFonts w:hint="eastAsia" w:ascii="宋体" w:hAnsi="宋体" w:cs="宋体"/>
                <w:b/>
                <w:bCs/>
                <w:szCs w:val="21"/>
                <w:lang w:bidi="zh-CN"/>
              </w:rPr>
              <w:t>六、课程模型训练</w:t>
            </w:r>
            <w:r>
              <w:rPr>
                <w:rFonts w:hint="eastAsia" w:ascii="宋体" w:hAnsi="宋体" w:cs="宋体"/>
                <w:szCs w:val="21"/>
                <w:lang w:bidi="zh-CN"/>
              </w:rPr>
              <w:tab/>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6.1课程知识库建设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基于课程内容与图谱，供应商提供建设课程知识库建构服务。涵盖课程核心知识点资源、拓展资源、案例库等，支持教学与自主学习。知识库应实现动态更新，确保知识内容的时效性与准确性。具体要求如下：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大模型配置：根据学校需求，配置通用大模型。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在线课程自训练</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支持一键同步在线课程，将现有课程资源自动进行智能化训练，提升知识库内容的丰富度。</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增量同步课程：支持增量同步在线课程，确保课程内容与知识库的一致性和及时更新。</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文献库对接：支持与学术文献库对接，一次性导入本课程相关书籍数量不少于25本，支持进行智能训练，丰富课程知识库。</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资源上传与训练</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多格式资源支持：支持上传和编辑各种课程资源类型，包括视频、文档、图片、音频、图书、公式、符号、附件、网页和动画等。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内容复制与粘贴：支持从Word文档中复制粘贴内容至编辑器，完整保留文字、图片及格式。</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视频上传与播放：支持多种视频格式（如rmvb、3gp、mpg、mpeg、mov、wmv、avi、mkv、mp4、flv、vob、f4v等），视频上传后自动转码，无需下载，支持直接在线播放。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大文件上传：支持上传超过2GB的文件，并可断点续传，确保大文件上传过程稳定。</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云盘管理：支持将资源批量上传至个人课程空间云盘，再从云盘引用资源，方便管理。</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上传与训练状态查看：提供资源上传与训练状态查看功能，帮助用户实时监控资源的处理进度。</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时间范围查看：支持按时间范围查看资源的上传情况，便于回顾历史操作。</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任务中心进度查看：通过任务中心查看资源训练进度，确保任务按时完成。</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自定义文件分类与管理：支持自定义文件分类，批量删除、重命名等操作，提高文件管理的灵活性。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人工辅助标注服务</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1）知识服务团队负责将现有资源中的结构化与半结构化数据精炼为“知识三元组”形式，并融合AI预处理的结构化成果，进行细致的人工标注与校验。</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2）针对所有既有资源，知识服务团队实施结构化标注流程，精确定位资源内容，并为其分配相应的知识点标签，以实现资源的精准索引与关联。</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6.2课程问答库建设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供应商建设课程问答库，涵盖常见问题、重点难点问题与拓展性问题，为教师与学生提供即时问题解决支持。同时，问答库应支持智能检索与语义理解，提升答疑效率与精准度。具体服务需求如下：</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6.2.1需求调研与主题确定</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1）合作沟通：供应商与课程教学团队进行深入沟通，了解各学科的教学需求、痛点及期望。</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2）主题界定：根据课程设计和师生需求，明确问答库的主题范围。</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3）目标设定：确立问答库的使用目标，如辅助教学、自学辅导、考试复习等。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6.2.2 问答库数据结构设计</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1）数据结构规划：设计高效的数据存储与检索结构，确保问答对的快速响应与准确匹配。</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2）技术选型：选择适合的人工智能技术框架，如自然语言处理（NLP）引擎，以支持问答对的智能匹配与语义理解。</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6.2.3问答对收集与验证</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1）内容收集：通过多渠道收集问答对素材，包括课程现有资源、电子书、论文、网络资源等。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2）质量审核：由课程负责人对问答对进行逐条审核，确保内容的准确性、适用性和教育性。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3）标准化处理：对问答对进行标准化处理，统一格式与表述风格，提高问答库的整体质量。</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6.2.4 实施与测试优化</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1）功能测试：进行全面的功能测试，包括问答匹配准确性、响应速度、用户界面友好性等。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2）优化调整：根据测试结果及用户反馈，对系统进行必要的优化调整，提升系统性能与用户体验。</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6.2.5 技术支持与更新维护</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1）内容更新：根据学科发展及用户需求，定期更新问答库内容，保持问答库的时效性与准确性，跟踪周期至少一学期。</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2）系统维护：对系统进行定期维护与升级，修复潜在漏洞，提升系统安全性与稳定性。</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3）用户反馈收集：建立用户反馈机制，定期收集师生对问答库系统的使用意见与建议，为系统的持续优化提供依据。</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（三）课程AI助教训练</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训练AI助教模型，支持自动答疑、资源推荐、个性化学习反馈等功能，提升教学辅助效果，减轻教师负担。AI助可结合学生学习行为数据，提供针对性的学习建议与资源推送。经过训练后，课程AI助教应实现以下需求：</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6.3.1智能学习提醒</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1）AI助教支持理解自然语言，能生成条理清晰、逻辑严谨、推理精准的学习提醒。</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2）可以针对校本课程中章节任务点、课程讨论话题、作业考试等场景进行相应的行为指导，帮助学生建立良好的学习习惯，提供学习时间管理建议，并激励学生保持学习动力。</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6.3.2 智能问答</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1）自然语言理解：能够理解用户的自然语言输入，包括问题、指令和请求，并且能够准确识别出用户的意图。</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2）知识库查询：拥有丰富的知识库，能够根据用户的问题从知识库中检索出相关信息和答案。</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3）多轮对话管理：能够与用户进行多轮对话，根据对话的上下文提供连贯和逻辑性强的回答。</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4）学习进度跟踪：能够记录用户的学习进度，包括完成的课程、练习题的完成情况以及测试成绩等。</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5）错误反馈与纠正：当用户提供错误信息或存在理解偏差时，能够及时反馈并帮助用户纠正。</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6）可扩展性：具备一定的可扩展性，能够随着课程内容的更新而更新知识库，或者根据用户需求添加新的功能。</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6.3.3 资源推荐</w:t>
            </w:r>
          </w:p>
          <w:p>
            <w:pPr>
              <w:widowControl/>
              <w:autoSpaceDE w:val="0"/>
              <w:autoSpaceDN w:val="0"/>
              <w:snapToGrid w:val="0"/>
              <w:textAlignment w:val="top"/>
              <w:rPr>
                <w:rFonts w:hint="eastAsia" w:ascii="宋体" w:hAnsi="宋体" w:cs="宋体"/>
                <w:szCs w:val="21"/>
                <w:lang w:bidi="zh-CN"/>
              </w:rPr>
            </w:pPr>
            <w:r>
              <w:rPr>
                <w:rFonts w:hint="eastAsia" w:ascii="宋体" w:hAnsi="宋体" w:cs="宋体"/>
                <w:szCs w:val="21"/>
                <w:lang w:bidi="zh-CN"/>
              </w:rPr>
              <w:t>1）支持查询图书、期刊等文献，根据用户输入问题推荐相关文献，图书、期刊等推荐文献可在线查看原文和文献传递；</w:t>
            </w:r>
          </w:p>
          <w:p>
            <w:pPr>
              <w:widowControl/>
              <w:autoSpaceDE w:val="0"/>
              <w:autoSpaceDN w:val="0"/>
              <w:snapToGrid w:val="0"/>
              <w:textAlignment w:val="top"/>
              <w:rPr>
                <w:rFonts w:ascii="宋体" w:hAnsi="宋体" w:cs="宋体"/>
                <w:szCs w:val="21"/>
                <w:lang w:bidi="zh-CN"/>
              </w:rPr>
            </w:pPr>
            <w:r>
              <w:rPr>
                <w:rFonts w:hint="eastAsia" w:ascii="宋体" w:hAnsi="宋体" w:cs="宋体"/>
                <w:szCs w:val="21"/>
                <w:lang w:bidi="zh-CN"/>
              </w:rPr>
              <w:t>2）针对学生学习进度和掌握情况，针对性的推荐学习资源，包括课内资源和学习拓展资源。</w:t>
            </w:r>
          </w:p>
          <w:p>
            <w:pPr>
              <w:widowControl/>
              <w:autoSpaceDE w:val="0"/>
              <w:autoSpaceDN w:val="0"/>
              <w:snapToGrid w:val="0"/>
              <w:textAlignment w:val="top"/>
              <w:rPr>
                <w:rFonts w:hint="eastAsia" w:ascii="宋体" w:hAnsi="宋体" w:cs="宋体"/>
                <w:b/>
                <w:bCs/>
                <w:szCs w:val="21"/>
                <w:lang w:bidi="zh-CN"/>
              </w:rPr>
            </w:pPr>
            <w:r>
              <w:rPr>
                <w:rFonts w:hint="eastAsia" w:ascii="宋体" w:hAnsi="宋体" w:cs="宋体"/>
                <w:b/>
                <w:bCs/>
                <w:szCs w:val="21"/>
                <w:lang w:bidi="zh-CN"/>
              </w:rPr>
              <w:t>七、课程AI工作台技术服务</w:t>
            </w:r>
          </w:p>
          <w:p>
            <w:pPr>
              <w:snapToGrid w:val="0"/>
              <w:rPr>
                <w:rFonts w:hint="eastAsia" w:ascii="宋体" w:hAnsi="宋体" w:cs="宋体"/>
                <w:szCs w:val="21"/>
                <w:lang w:bidi="zh-CN"/>
              </w:rPr>
            </w:pPr>
            <w:r>
              <w:rPr>
                <w:rFonts w:hint="eastAsia" w:ascii="宋体" w:hAnsi="宋体" w:cs="宋体"/>
                <w:szCs w:val="21"/>
                <w:lang w:bidi="zh-CN"/>
              </w:rPr>
              <w:t>提供课程AI工作台，集成资源管理、智能推荐、数据分析等功能，支持教师与学生高效教学与学习。工作台应不断优化与拓展功能，满足不同教学场景的实际需求。具体需求如下：</w:t>
            </w:r>
          </w:p>
          <w:p>
            <w:pPr>
              <w:snapToGrid w:val="0"/>
              <w:rPr>
                <w:rFonts w:hint="eastAsia" w:ascii="宋体" w:hAnsi="宋体" w:cs="宋体"/>
                <w:szCs w:val="21"/>
                <w:lang w:bidi="zh-CN"/>
              </w:rPr>
            </w:pPr>
            <w:r>
              <w:rPr>
                <w:rFonts w:hint="eastAsia" w:ascii="宋体" w:hAnsi="宋体" w:cs="宋体"/>
                <w:szCs w:val="21"/>
                <w:lang w:bidi="zh-CN"/>
              </w:rPr>
              <w:t>7.1 AI教案</w:t>
            </w:r>
          </w:p>
          <w:p>
            <w:pPr>
              <w:snapToGrid w:val="0"/>
              <w:rPr>
                <w:rFonts w:hint="eastAsia" w:ascii="宋体" w:hAnsi="宋体" w:cs="宋体"/>
                <w:szCs w:val="21"/>
                <w:lang w:bidi="zh-CN"/>
              </w:rPr>
            </w:pPr>
            <w:r>
              <w:rPr>
                <w:rFonts w:hint="eastAsia" w:ascii="宋体" w:hAnsi="宋体" w:cs="宋体"/>
                <w:szCs w:val="21"/>
                <w:lang w:bidi="zh-CN"/>
              </w:rPr>
              <w:t>1)</w:t>
            </w:r>
            <w:r>
              <w:rPr>
                <w:rFonts w:hint="eastAsia" w:ascii="宋体" w:hAnsi="宋体" w:cs="宋体"/>
                <w:szCs w:val="21"/>
                <w:lang w:bidi="zh-CN"/>
              </w:rPr>
              <w:tab/>
            </w:r>
            <w:r>
              <w:rPr>
                <w:rFonts w:hint="eastAsia" w:ascii="宋体" w:hAnsi="宋体" w:cs="宋体"/>
                <w:szCs w:val="21"/>
                <w:lang w:bidi="zh-CN"/>
              </w:rPr>
              <w:t>教师输入教学材料或关键词，AI自动生成教案，并支持教师借助写作助手进行再次编辑。</w:t>
            </w:r>
          </w:p>
          <w:p>
            <w:pPr>
              <w:snapToGrid w:val="0"/>
              <w:rPr>
                <w:rFonts w:hint="eastAsia" w:ascii="宋体" w:hAnsi="宋体" w:cs="宋体"/>
                <w:szCs w:val="21"/>
                <w:lang w:bidi="zh-CN"/>
              </w:rPr>
            </w:pPr>
            <w:r>
              <w:rPr>
                <w:rFonts w:hint="eastAsia" w:ascii="宋体" w:hAnsi="宋体" w:cs="宋体"/>
                <w:szCs w:val="21"/>
                <w:lang w:bidi="zh-CN"/>
              </w:rPr>
              <w:t>2)</w:t>
            </w:r>
            <w:r>
              <w:rPr>
                <w:rFonts w:hint="eastAsia" w:ascii="宋体" w:hAnsi="宋体" w:cs="宋体"/>
                <w:szCs w:val="21"/>
                <w:lang w:bidi="zh-CN"/>
              </w:rPr>
              <w:tab/>
            </w:r>
            <w:r>
              <w:rPr>
                <w:rFonts w:hint="eastAsia" w:ascii="宋体" w:hAnsi="宋体" w:cs="宋体"/>
                <w:szCs w:val="21"/>
                <w:lang w:bidi="zh-CN"/>
              </w:rPr>
              <w:t>支持教师补充所教层次、适合的教学风格，形成更加具有个性化的教案。</w:t>
            </w:r>
          </w:p>
          <w:p>
            <w:pPr>
              <w:snapToGrid w:val="0"/>
              <w:rPr>
                <w:rFonts w:hint="eastAsia" w:ascii="宋体" w:hAnsi="宋体" w:cs="宋体"/>
                <w:szCs w:val="21"/>
                <w:lang w:bidi="zh-CN"/>
              </w:rPr>
            </w:pPr>
            <w:r>
              <w:rPr>
                <w:rFonts w:hint="eastAsia" w:ascii="宋体" w:hAnsi="宋体" w:cs="宋体"/>
                <w:szCs w:val="21"/>
                <w:lang w:bidi="zh-CN"/>
              </w:rPr>
              <w:t>3)</w:t>
            </w:r>
            <w:r>
              <w:rPr>
                <w:rFonts w:hint="eastAsia" w:ascii="宋体" w:hAnsi="宋体" w:cs="宋体"/>
                <w:szCs w:val="21"/>
                <w:lang w:bidi="zh-CN"/>
              </w:rPr>
              <w:tab/>
            </w:r>
            <w:r>
              <w:rPr>
                <w:rFonts w:hint="eastAsia" w:ascii="宋体" w:hAnsi="宋体" w:cs="宋体"/>
                <w:szCs w:val="21"/>
                <w:lang w:bidi="zh-CN"/>
              </w:rPr>
              <w:t>支持一键导出教案，并且支持按学校教案模板导出。</w:t>
            </w:r>
          </w:p>
          <w:p>
            <w:pPr>
              <w:snapToGrid w:val="0"/>
              <w:rPr>
                <w:rFonts w:hint="eastAsia" w:ascii="宋体" w:hAnsi="宋体" w:cs="宋体"/>
                <w:szCs w:val="21"/>
                <w:lang w:bidi="zh-CN"/>
              </w:rPr>
            </w:pPr>
            <w:r>
              <w:rPr>
                <w:rFonts w:hint="eastAsia" w:ascii="宋体" w:hAnsi="宋体" w:cs="宋体"/>
                <w:szCs w:val="21"/>
                <w:lang w:bidi="zh-CN"/>
              </w:rPr>
              <w:t>7.2 AI 课件</w:t>
            </w:r>
          </w:p>
          <w:p>
            <w:pPr>
              <w:snapToGrid w:val="0"/>
              <w:rPr>
                <w:rFonts w:hint="eastAsia" w:ascii="宋体" w:hAnsi="宋体" w:cs="宋体"/>
                <w:szCs w:val="21"/>
                <w:lang w:bidi="zh-CN"/>
              </w:rPr>
            </w:pPr>
            <w:r>
              <w:rPr>
                <w:rFonts w:hint="eastAsia" w:ascii="宋体" w:hAnsi="宋体" w:cs="宋体"/>
                <w:szCs w:val="21"/>
                <w:lang w:bidi="zh-CN"/>
              </w:rPr>
              <w:t>1）通过输入PPT内容要求，AI智能生成PPT大纲</w:t>
            </w:r>
          </w:p>
          <w:p>
            <w:pPr>
              <w:snapToGrid w:val="0"/>
              <w:rPr>
                <w:rFonts w:hint="eastAsia" w:ascii="宋体" w:hAnsi="宋体" w:cs="宋体"/>
                <w:szCs w:val="21"/>
                <w:lang w:bidi="zh-CN"/>
              </w:rPr>
            </w:pPr>
            <w:r>
              <w:rPr>
                <w:rFonts w:hint="eastAsia" w:ascii="宋体" w:hAnsi="宋体" w:cs="宋体"/>
                <w:szCs w:val="21"/>
                <w:lang w:bidi="zh-CN"/>
              </w:rPr>
              <w:t>2）支持教师在线直接编辑生成的大纲内容；</w:t>
            </w:r>
          </w:p>
          <w:p>
            <w:pPr>
              <w:snapToGrid w:val="0"/>
              <w:rPr>
                <w:rFonts w:hint="eastAsia" w:ascii="宋体" w:hAnsi="宋体" w:cs="宋体"/>
                <w:szCs w:val="21"/>
                <w:lang w:bidi="zh-CN"/>
              </w:rPr>
            </w:pPr>
            <w:r>
              <w:rPr>
                <w:rFonts w:hint="eastAsia" w:ascii="宋体" w:hAnsi="宋体" w:cs="宋体"/>
                <w:szCs w:val="21"/>
                <w:lang w:bidi="zh-CN"/>
              </w:rPr>
              <w:t>3）支持AI自动根据大纲生成PPT，可以进行在线编辑或下载；</w:t>
            </w:r>
          </w:p>
          <w:p>
            <w:pPr>
              <w:snapToGrid w:val="0"/>
              <w:rPr>
                <w:rFonts w:hint="eastAsia" w:ascii="宋体" w:hAnsi="宋体" w:cs="宋体"/>
                <w:szCs w:val="21"/>
                <w:lang w:bidi="zh-CN"/>
              </w:rPr>
            </w:pPr>
            <w:r>
              <w:rPr>
                <w:rFonts w:hint="eastAsia" w:ascii="宋体" w:hAnsi="宋体" w:cs="宋体"/>
                <w:szCs w:val="21"/>
                <w:lang w:bidi="zh-CN"/>
              </w:rPr>
              <w:t>4）支持选择PPT模板场景、设计风格、主题颜色，生成个性化PPT。</w:t>
            </w:r>
          </w:p>
          <w:p>
            <w:pPr>
              <w:snapToGrid w:val="0"/>
              <w:rPr>
                <w:rFonts w:hint="eastAsia" w:ascii="宋体" w:hAnsi="宋体" w:cs="宋体"/>
                <w:szCs w:val="21"/>
                <w:lang w:bidi="zh-CN"/>
              </w:rPr>
            </w:pPr>
            <w:r>
              <w:rPr>
                <w:rFonts w:hint="eastAsia" w:ascii="宋体" w:hAnsi="宋体" w:cs="宋体"/>
                <w:szCs w:val="21"/>
                <w:lang w:bidi="zh-CN"/>
              </w:rPr>
              <w:t>7.3 AI写作</w:t>
            </w:r>
          </w:p>
          <w:p>
            <w:pPr>
              <w:snapToGrid w:val="0"/>
              <w:rPr>
                <w:rFonts w:hint="eastAsia" w:ascii="宋体" w:hAnsi="宋体" w:cs="宋体"/>
                <w:szCs w:val="21"/>
                <w:lang w:bidi="zh-CN"/>
              </w:rPr>
            </w:pPr>
            <w:r>
              <w:rPr>
                <w:rFonts w:hint="eastAsia" w:ascii="宋体" w:hAnsi="宋体" w:cs="宋体"/>
                <w:szCs w:val="21"/>
                <w:lang w:bidi="zh-CN"/>
              </w:rPr>
              <w:t>1）老师可以向AI写作助手提出需求，点击“生成”，写作助手会根据要求智能生成相应的内容，老师点击保存可以将内容输出到章节编辑页面上。。</w:t>
            </w:r>
          </w:p>
          <w:p>
            <w:pPr>
              <w:snapToGrid w:val="0"/>
              <w:rPr>
                <w:rFonts w:hint="eastAsia" w:ascii="宋体" w:hAnsi="宋体" w:cs="宋体"/>
                <w:szCs w:val="21"/>
                <w:lang w:bidi="zh-CN"/>
              </w:rPr>
            </w:pPr>
            <w:r>
              <w:rPr>
                <w:rFonts w:hint="eastAsia" w:ascii="宋体" w:hAnsi="宋体" w:cs="宋体"/>
                <w:szCs w:val="21"/>
                <w:lang w:bidi="zh-CN"/>
              </w:rPr>
              <w:t>2）老师可进行文本修改、删减或排版</w:t>
            </w:r>
          </w:p>
          <w:p>
            <w:pPr>
              <w:snapToGrid w:val="0"/>
              <w:rPr>
                <w:rFonts w:hint="eastAsia" w:ascii="宋体" w:hAnsi="宋体" w:cs="宋体"/>
                <w:szCs w:val="21"/>
                <w:lang w:bidi="zh-CN"/>
              </w:rPr>
            </w:pPr>
            <w:r>
              <w:rPr>
                <w:rFonts w:hint="eastAsia" w:ascii="宋体" w:hAnsi="宋体" w:cs="宋体"/>
                <w:szCs w:val="21"/>
                <w:lang w:bidi="zh-CN"/>
              </w:rPr>
              <w:t>3）在章节编辑页面，选中内容可进行AI改写、扩写、续写、简写、翻译等操作；</w:t>
            </w:r>
          </w:p>
          <w:p>
            <w:pPr>
              <w:snapToGrid w:val="0"/>
              <w:rPr>
                <w:rFonts w:hint="eastAsia" w:ascii="宋体" w:hAnsi="宋体" w:cs="宋体"/>
                <w:szCs w:val="21"/>
                <w:lang w:bidi="zh-CN"/>
              </w:rPr>
            </w:pPr>
            <w:r>
              <w:rPr>
                <w:rFonts w:hint="eastAsia" w:ascii="宋体" w:hAnsi="宋体" w:cs="宋体"/>
                <w:szCs w:val="21"/>
                <w:lang w:bidi="zh-CN"/>
              </w:rPr>
              <w:t>7.4 AI出题</w:t>
            </w:r>
          </w:p>
          <w:p>
            <w:pPr>
              <w:snapToGrid w:val="0"/>
              <w:rPr>
                <w:rFonts w:hint="eastAsia" w:ascii="宋体" w:hAnsi="宋体" w:cs="宋体"/>
                <w:szCs w:val="21"/>
                <w:lang w:bidi="zh-CN"/>
              </w:rPr>
            </w:pPr>
            <w:r>
              <w:rPr>
                <w:rFonts w:hint="eastAsia" w:ascii="宋体" w:hAnsi="宋体" w:cs="宋体"/>
                <w:szCs w:val="21"/>
                <w:lang w:bidi="zh-CN"/>
              </w:rPr>
              <w:t>1）支持教师通过输入相关的教学材料和知识点，AI系统可以自动生成对应的题目并且不限制教师使用次数。</w:t>
            </w:r>
          </w:p>
          <w:p>
            <w:pPr>
              <w:snapToGrid w:val="0"/>
              <w:rPr>
                <w:rFonts w:hint="eastAsia" w:ascii="宋体" w:hAnsi="宋体" w:cs="宋体"/>
                <w:szCs w:val="21"/>
                <w:lang w:bidi="zh-CN"/>
              </w:rPr>
            </w:pPr>
            <w:r>
              <w:rPr>
                <w:rFonts w:hint="eastAsia" w:ascii="宋体" w:hAnsi="宋体" w:cs="宋体"/>
                <w:szCs w:val="21"/>
                <w:lang w:bidi="zh-CN"/>
              </w:rPr>
              <w:t>2）支持多种题型，题型包括选择题、填空题、简答题等，以便满足不同类型考题的需求。</w:t>
            </w:r>
          </w:p>
          <w:p>
            <w:pPr>
              <w:snapToGrid w:val="0"/>
              <w:rPr>
                <w:rFonts w:hint="eastAsia" w:ascii="宋体" w:hAnsi="宋体" w:cs="宋体"/>
                <w:szCs w:val="21"/>
                <w:lang w:bidi="zh-CN"/>
              </w:rPr>
            </w:pPr>
            <w:r>
              <w:rPr>
                <w:rFonts w:hint="eastAsia" w:ascii="宋体" w:hAnsi="宋体" w:cs="宋体"/>
                <w:szCs w:val="21"/>
                <w:lang w:bidi="zh-CN"/>
              </w:rPr>
              <w:t>3）教师可以根据课程内容和学生水平，将生成的题目添加到题库。并随时使用这些题目进行测验、考试或者课堂练习。</w:t>
            </w:r>
          </w:p>
          <w:p>
            <w:pPr>
              <w:snapToGrid w:val="0"/>
              <w:rPr>
                <w:rFonts w:hint="eastAsia" w:ascii="宋体" w:hAnsi="宋体" w:cs="宋体"/>
                <w:szCs w:val="21"/>
                <w:lang w:bidi="zh-CN"/>
              </w:rPr>
            </w:pPr>
            <w:r>
              <w:rPr>
                <w:rFonts w:hint="eastAsia" w:ascii="宋体" w:hAnsi="宋体" w:cs="宋体"/>
                <w:szCs w:val="21"/>
                <w:lang w:bidi="zh-CN"/>
              </w:rPr>
              <w:t>4）支持设置出的题目的要求，比如：适用年级、难易度、题目偏向等。</w:t>
            </w:r>
          </w:p>
          <w:p>
            <w:pPr>
              <w:snapToGrid w:val="0"/>
              <w:rPr>
                <w:rFonts w:hint="eastAsia" w:ascii="宋体" w:hAnsi="宋体" w:cs="宋体"/>
                <w:szCs w:val="21"/>
                <w:lang w:bidi="zh-CN"/>
              </w:rPr>
            </w:pPr>
            <w:r>
              <w:rPr>
                <w:rFonts w:hint="eastAsia" w:ascii="宋体" w:hAnsi="宋体" w:cs="宋体"/>
                <w:szCs w:val="21"/>
                <w:lang w:bidi="zh-CN"/>
              </w:rPr>
              <w:t>5）支持AI生成口语测评题，教师可以输入需要学生跟读的文本，学生通过系统录制跟读的音频，系统将对录音进行语音分析评估其完整度、准确度和流利度，并给出针对性的评分和反馈意见。</w:t>
            </w:r>
          </w:p>
          <w:p>
            <w:pPr>
              <w:snapToGrid w:val="0"/>
              <w:rPr>
                <w:rFonts w:hint="eastAsia" w:ascii="宋体" w:hAnsi="宋体" w:cs="宋体"/>
                <w:szCs w:val="21"/>
                <w:lang w:bidi="zh-CN"/>
              </w:rPr>
            </w:pPr>
            <w:r>
              <w:rPr>
                <w:rFonts w:hint="eastAsia" w:ascii="宋体" w:hAnsi="宋体" w:cs="宋体"/>
                <w:szCs w:val="21"/>
                <w:lang w:bidi="zh-CN"/>
              </w:rPr>
              <w:t>7.5 AI批阅</w:t>
            </w:r>
          </w:p>
          <w:p>
            <w:pPr>
              <w:snapToGrid w:val="0"/>
              <w:rPr>
                <w:rFonts w:hint="eastAsia" w:ascii="宋体" w:hAnsi="宋体" w:cs="宋体"/>
                <w:szCs w:val="21"/>
                <w:lang w:bidi="zh-CN"/>
              </w:rPr>
            </w:pPr>
            <w:r>
              <w:rPr>
                <w:rFonts w:hint="eastAsia" w:ascii="宋体" w:hAnsi="宋体" w:cs="宋体"/>
                <w:szCs w:val="21"/>
                <w:lang w:bidi="zh-CN"/>
              </w:rPr>
              <w:t>1） 使用先进的 AI 技术，能够批阅学生的主观题、论述题、小论文等。</w:t>
            </w:r>
          </w:p>
          <w:p>
            <w:pPr>
              <w:snapToGrid w:val="0"/>
              <w:rPr>
                <w:rFonts w:hint="eastAsia" w:ascii="宋体" w:hAnsi="宋体" w:cs="宋体"/>
                <w:szCs w:val="21"/>
                <w:lang w:bidi="zh-CN"/>
              </w:rPr>
            </w:pPr>
            <w:r>
              <w:rPr>
                <w:rFonts w:hint="eastAsia" w:ascii="宋体" w:hAnsi="宋体" w:cs="宋体"/>
                <w:szCs w:val="21"/>
                <w:lang w:bidi="zh-CN"/>
              </w:rPr>
              <w:t>2） 对参考答案和学生答案进行分词处理和语法分析，以便计算词语和语句的相似度，从而量化学生答案与标准答案的匹配程度。</w:t>
            </w:r>
          </w:p>
          <w:p>
            <w:pPr>
              <w:snapToGrid w:val="0"/>
              <w:rPr>
                <w:rFonts w:hint="eastAsia" w:ascii="宋体" w:hAnsi="宋体" w:cs="宋体"/>
                <w:szCs w:val="21"/>
                <w:lang w:bidi="zh-CN"/>
              </w:rPr>
            </w:pPr>
            <w:r>
              <w:rPr>
                <w:rFonts w:hint="eastAsia" w:ascii="宋体" w:hAnsi="宋体" w:cs="宋体"/>
                <w:szCs w:val="21"/>
                <w:lang w:bidi="zh-CN"/>
              </w:rPr>
              <w:t>3）支持利用语义相似度计算结果给出学生相应的得分，通过深度学习等技术来模拟人类对语义相似度的判断，从而更准确地评估学生的答案质量。</w:t>
            </w:r>
          </w:p>
          <w:p>
            <w:pPr>
              <w:snapToGrid w:val="0"/>
              <w:rPr>
                <w:rFonts w:hint="eastAsia" w:ascii="宋体" w:hAnsi="宋体" w:cs="宋体"/>
                <w:szCs w:val="21"/>
                <w:lang w:bidi="zh-CN"/>
              </w:rPr>
            </w:pPr>
            <w:r>
              <w:rPr>
                <w:rFonts w:hint="eastAsia" w:ascii="宋体" w:hAnsi="宋体" w:cs="宋体"/>
                <w:szCs w:val="21"/>
                <w:lang w:bidi="zh-CN"/>
              </w:rPr>
              <w:t xml:space="preserve">4）系统可以根据教师设置的得分点来匹配得分，确保评分符合标准化要求，同时满足教学目标和评价体系。 </w:t>
            </w:r>
          </w:p>
          <w:p>
            <w:pPr>
              <w:snapToGrid w:val="0"/>
              <w:rPr>
                <w:rFonts w:hint="eastAsia" w:ascii="宋体" w:hAnsi="宋体" w:cs="宋体"/>
                <w:szCs w:val="21"/>
                <w:lang w:bidi="zh-CN"/>
              </w:rPr>
            </w:pPr>
            <w:r>
              <w:rPr>
                <w:rFonts w:hint="eastAsia" w:ascii="宋体" w:hAnsi="宋体" w:cs="宋体"/>
                <w:szCs w:val="21"/>
                <w:lang w:bidi="zh-CN"/>
              </w:rPr>
              <w:t>5）支持智能批阅程序题与口语题。</w:t>
            </w:r>
          </w:p>
          <w:p>
            <w:pPr>
              <w:snapToGrid w:val="0"/>
              <w:rPr>
                <w:rFonts w:hint="eastAsia" w:ascii="宋体" w:hAnsi="宋体" w:cs="宋体"/>
                <w:szCs w:val="21"/>
                <w:lang w:bidi="zh-CN"/>
              </w:rPr>
            </w:pPr>
            <w:r>
              <w:rPr>
                <w:rFonts w:hint="eastAsia" w:ascii="宋体" w:hAnsi="宋体" w:cs="宋体"/>
                <w:szCs w:val="21"/>
                <w:lang w:bidi="zh-CN"/>
              </w:rPr>
              <w:t>7.6 AI学情分析</w:t>
            </w:r>
          </w:p>
          <w:p>
            <w:pPr>
              <w:snapToGrid w:val="0"/>
              <w:rPr>
                <w:rFonts w:hint="eastAsia" w:ascii="宋体" w:hAnsi="宋体" w:cs="宋体"/>
                <w:szCs w:val="21"/>
                <w:lang w:bidi="zh-CN"/>
              </w:rPr>
            </w:pPr>
            <w:r>
              <w:rPr>
                <w:rFonts w:hint="eastAsia" w:ascii="宋体" w:hAnsi="宋体" w:cs="宋体"/>
                <w:szCs w:val="21"/>
                <w:lang w:bidi="zh-CN"/>
              </w:rPr>
              <w:t>1）支持智能呈现班级整体知识点分析数据，提供个性化学习路径。</w:t>
            </w:r>
          </w:p>
          <w:p>
            <w:pPr>
              <w:snapToGrid w:val="0"/>
              <w:rPr>
                <w:rFonts w:hint="eastAsia" w:ascii="宋体" w:hAnsi="宋体" w:cs="宋体"/>
                <w:szCs w:val="21"/>
                <w:lang w:bidi="zh-CN"/>
              </w:rPr>
            </w:pPr>
            <w:r>
              <w:rPr>
                <w:rFonts w:hint="eastAsia" w:ascii="宋体" w:hAnsi="宋体" w:cs="宋体"/>
                <w:szCs w:val="21"/>
                <w:lang w:bidi="zh-CN"/>
              </w:rPr>
              <w:t>2）可查看知识点平均完成率、平均掌握率、完成率分布和掌握率分布等。支持按知识点查看每个知识点的关联学习资源数、平均完成率、平均掌握率、课程资料数、课程资料人均阅读情况等。</w:t>
            </w:r>
          </w:p>
          <w:p>
            <w:pPr>
              <w:snapToGrid w:val="0"/>
              <w:rPr>
                <w:rFonts w:hint="eastAsia" w:ascii="宋体" w:hAnsi="宋体" w:cs="宋体"/>
                <w:szCs w:val="21"/>
                <w:lang w:bidi="zh-CN"/>
              </w:rPr>
            </w:pPr>
            <w:r>
              <w:rPr>
                <w:rFonts w:hint="eastAsia" w:ascii="宋体" w:hAnsi="宋体" w:cs="宋体"/>
                <w:szCs w:val="21"/>
                <w:lang w:bidi="zh-CN"/>
              </w:rPr>
              <w:t>3）基于AI学情分析，可由AI生成学情分析画像，减轻教师学情分析压力，提升效率。</w:t>
            </w:r>
          </w:p>
          <w:p>
            <w:pPr>
              <w:snapToGrid w:val="0"/>
              <w:rPr>
                <w:rFonts w:hint="eastAsia" w:ascii="宋体" w:hAnsi="宋体" w:cs="宋体"/>
                <w:szCs w:val="21"/>
                <w:lang w:bidi="zh-CN"/>
              </w:rPr>
            </w:pPr>
            <w:r>
              <w:rPr>
                <w:rFonts w:hint="eastAsia" w:ascii="宋体" w:hAnsi="宋体" w:cs="宋体"/>
                <w:szCs w:val="21"/>
                <w:lang w:bidi="zh-CN"/>
              </w:rPr>
              <w:t>4） 针对班级学情数据进行分析，将班级学生分布自动划分为发展层、期望层、跃进层、提高层，并给出具体的教学建议，帮助教师开展精准教学。</w:t>
            </w:r>
          </w:p>
          <w:p>
            <w:pPr>
              <w:snapToGrid w:val="0"/>
              <w:rPr>
                <w:rFonts w:hint="eastAsia" w:ascii="宋体" w:hAnsi="宋体" w:cs="宋体"/>
                <w:szCs w:val="21"/>
                <w:lang w:bidi="zh-CN"/>
              </w:rPr>
            </w:pPr>
            <w:r>
              <w:rPr>
                <w:rFonts w:hint="eastAsia" w:ascii="宋体" w:hAnsi="宋体" w:cs="宋体"/>
                <w:szCs w:val="21"/>
                <w:lang w:bidi="zh-CN"/>
              </w:rPr>
              <w:t>7.7 个性化学习路径推荐</w:t>
            </w:r>
          </w:p>
          <w:p>
            <w:pPr>
              <w:snapToGrid w:val="0"/>
              <w:rPr>
                <w:rFonts w:hint="eastAsia" w:ascii="宋体" w:hAnsi="宋体" w:cs="宋体"/>
                <w:szCs w:val="21"/>
                <w:lang w:bidi="zh-CN"/>
              </w:rPr>
            </w:pPr>
            <w:r>
              <w:rPr>
                <w:rFonts w:hint="eastAsia" w:ascii="宋体" w:hAnsi="宋体" w:cs="宋体"/>
                <w:szCs w:val="21"/>
                <w:lang w:bidi="zh-CN"/>
              </w:rPr>
              <w:t>1）为学生智能化推荐个性化学习路径，呈现路径中各知识点掌握率。</w:t>
            </w:r>
          </w:p>
          <w:p>
            <w:pPr>
              <w:snapToGrid w:val="0"/>
              <w:rPr>
                <w:rFonts w:hint="eastAsia" w:ascii="宋体" w:hAnsi="宋体" w:cs="宋体"/>
                <w:szCs w:val="21"/>
                <w:lang w:bidi="zh-CN"/>
              </w:rPr>
            </w:pPr>
            <w:r>
              <w:rPr>
                <w:rFonts w:hint="eastAsia" w:ascii="宋体" w:hAnsi="宋体" w:cs="宋体"/>
                <w:szCs w:val="21"/>
                <w:lang w:bidi="zh-CN"/>
              </w:rPr>
              <w:t>2）基于知识点的学习，智能化分析学生学习进度与掌握情况，掌握率高于90%的知识点在学习路径上不再显示。</w:t>
            </w:r>
          </w:p>
          <w:p>
            <w:pPr>
              <w:snapToGrid w:val="0"/>
              <w:rPr>
                <w:rFonts w:hint="eastAsia" w:ascii="宋体" w:hAnsi="宋体" w:cs="宋体"/>
                <w:szCs w:val="21"/>
                <w:lang w:bidi="zh-CN"/>
              </w:rPr>
            </w:pPr>
            <w:r>
              <w:rPr>
                <w:rFonts w:hint="eastAsia" w:ascii="宋体" w:hAnsi="宋体" w:cs="宋体"/>
                <w:szCs w:val="21"/>
                <w:lang w:bidi="zh-CN"/>
              </w:rPr>
              <w:t>3）基于错题智能推荐薄弱知识点。</w:t>
            </w:r>
          </w:p>
          <w:p>
            <w:pPr>
              <w:snapToGrid w:val="0"/>
              <w:rPr>
                <w:rFonts w:hint="eastAsia" w:ascii="宋体" w:hAnsi="宋体" w:cs="宋体"/>
                <w:szCs w:val="21"/>
                <w:lang w:bidi="zh-CN"/>
              </w:rPr>
            </w:pPr>
            <w:r>
              <w:rPr>
                <w:rFonts w:hint="eastAsia" w:ascii="宋体" w:hAnsi="宋体" w:cs="宋体"/>
                <w:szCs w:val="21"/>
                <w:lang w:bidi="zh-CN"/>
              </w:rPr>
              <w:t>7.8 智能推荐资源</w:t>
            </w:r>
          </w:p>
          <w:p>
            <w:pPr>
              <w:snapToGrid w:val="0"/>
              <w:rPr>
                <w:rFonts w:hint="eastAsia" w:ascii="宋体" w:hAnsi="宋体" w:cs="宋体"/>
                <w:szCs w:val="21"/>
                <w:lang w:bidi="zh-CN"/>
              </w:rPr>
            </w:pPr>
            <w:r>
              <w:rPr>
                <w:rFonts w:hint="eastAsia" w:ascii="宋体" w:hAnsi="宋体" w:cs="宋体"/>
                <w:szCs w:val="21"/>
                <w:lang w:bidi="zh-CN"/>
              </w:rPr>
              <w:t>根据需求，可通过问答方式由AI助教提供智能化资源推荐，通过关键词识别，智能化挖掘呈现相关联学术资源，包含期刊、图书等内容，助力学生复习相关知识、扩展学习的深度与广度。</w:t>
            </w:r>
          </w:p>
          <w:p>
            <w:pPr>
              <w:snapToGrid w:val="0"/>
              <w:rPr>
                <w:rFonts w:hint="eastAsia" w:ascii="宋体" w:hAnsi="宋体" w:cs="宋体"/>
                <w:szCs w:val="21"/>
                <w:lang w:bidi="zh-CN"/>
              </w:rPr>
            </w:pPr>
            <w:r>
              <w:rPr>
                <w:rFonts w:hint="eastAsia" w:ascii="宋体" w:hAnsi="宋体" w:cs="宋体"/>
                <w:szCs w:val="21"/>
                <w:lang w:bidi="zh-CN"/>
              </w:rPr>
              <w:t>7.9 文献阅读</w:t>
            </w:r>
          </w:p>
          <w:p>
            <w:pPr>
              <w:snapToGrid w:val="0"/>
              <w:rPr>
                <w:rFonts w:hint="eastAsia" w:ascii="宋体" w:hAnsi="宋体" w:cs="宋体"/>
                <w:szCs w:val="21"/>
                <w:lang w:bidi="zh-CN"/>
              </w:rPr>
            </w:pPr>
            <w:r>
              <w:rPr>
                <w:rFonts w:hint="eastAsia" w:ascii="宋体" w:hAnsi="宋体" w:cs="宋体"/>
                <w:szCs w:val="21"/>
                <w:lang w:bidi="zh-CN"/>
              </w:rPr>
              <w:t>1)根据原文内容支持随机生成并显示默认问题，可通过点击默认问题或自定义输入问题查看回复，平台通过匹配向量之间的相似性，支持文字、表格等多种输出格式；</w:t>
            </w:r>
          </w:p>
          <w:p>
            <w:pPr>
              <w:snapToGrid w:val="0"/>
              <w:rPr>
                <w:rFonts w:hint="eastAsia" w:ascii="宋体" w:hAnsi="宋体" w:cs="宋体"/>
                <w:szCs w:val="21"/>
                <w:lang w:bidi="zh-CN"/>
              </w:rPr>
            </w:pPr>
            <w:r>
              <w:rPr>
                <w:rFonts w:hint="eastAsia" w:ascii="宋体" w:hAnsi="宋体" w:cs="宋体"/>
                <w:szCs w:val="21"/>
                <w:lang w:bidi="zh-CN"/>
              </w:rPr>
              <w:t>▲2)支持点击词云查看人物、机构、地名在原文出现次数、页码以及原文信息，快速了解原文的重点和主题；</w:t>
            </w:r>
          </w:p>
          <w:p>
            <w:pPr>
              <w:snapToGrid w:val="0"/>
              <w:rPr>
                <w:rFonts w:hint="eastAsia" w:ascii="宋体" w:hAnsi="宋体" w:cs="宋体"/>
                <w:szCs w:val="21"/>
                <w:lang w:bidi="zh-CN"/>
              </w:rPr>
            </w:pPr>
            <w:r>
              <w:rPr>
                <w:rFonts w:hint="eastAsia" w:ascii="宋体" w:hAnsi="宋体" w:cs="宋体"/>
                <w:szCs w:val="21"/>
                <w:lang w:bidi="zh-CN"/>
              </w:rPr>
              <w:t>▲3)通过对于原文的分析，支持按照章节提取关键信息，生成摘要列表；</w:t>
            </w:r>
          </w:p>
          <w:p>
            <w:pPr>
              <w:snapToGrid w:val="0"/>
              <w:rPr>
                <w:rFonts w:hint="eastAsia" w:ascii="宋体" w:hAnsi="宋体" w:cs="宋体"/>
                <w:szCs w:val="21"/>
                <w:lang w:bidi="zh-CN"/>
              </w:rPr>
            </w:pPr>
            <w:r>
              <w:rPr>
                <w:rFonts w:hint="eastAsia" w:ascii="宋体" w:hAnsi="宋体" w:cs="宋体"/>
                <w:szCs w:val="21"/>
                <w:lang w:bidi="zh-CN"/>
              </w:rPr>
              <w:t>▲4)通过对于原文的分析将复杂的概念和关系可视化，支持按照脑图或markdown格式切换查看，帮助知识整理和信息归纳；</w:t>
            </w:r>
          </w:p>
          <w:p>
            <w:pPr>
              <w:snapToGrid w:val="0"/>
              <w:rPr>
                <w:rFonts w:hint="eastAsia" w:ascii="宋体" w:hAnsi="宋体" w:cs="宋体"/>
                <w:szCs w:val="21"/>
                <w:lang w:bidi="zh-CN"/>
              </w:rPr>
            </w:pPr>
            <w:r>
              <w:rPr>
                <w:rFonts w:hint="eastAsia" w:ascii="宋体" w:hAnsi="宋体" w:cs="宋体"/>
                <w:szCs w:val="21"/>
                <w:lang w:bidi="zh-CN"/>
              </w:rPr>
              <w:t>▲5)通过对原文的分析，支持按照章节查看系统生成的相关试题，试题可以章节为维度进行筛选，生成的试题均为本章节相关内容试题；</w:t>
            </w:r>
          </w:p>
          <w:p>
            <w:pPr>
              <w:snapToGrid w:val="0"/>
              <w:rPr>
                <w:rFonts w:hint="eastAsia" w:ascii="宋体" w:hAnsi="宋体" w:cs="宋体"/>
                <w:szCs w:val="21"/>
                <w:lang w:bidi="zh-CN"/>
              </w:rPr>
            </w:pPr>
            <w:r>
              <w:rPr>
                <w:rFonts w:hint="eastAsia" w:ascii="宋体" w:hAnsi="宋体" w:cs="宋体"/>
                <w:szCs w:val="21"/>
                <w:lang w:bidi="zh-CN"/>
              </w:rPr>
              <w:t>6)支持原文在线预览，支持目录检索、全文检索。</w:t>
            </w:r>
          </w:p>
          <w:p>
            <w:pPr>
              <w:snapToGrid w:val="0"/>
              <w:rPr>
                <w:rFonts w:hint="eastAsia" w:ascii="宋体" w:hAnsi="宋体" w:cs="宋体"/>
                <w:szCs w:val="21"/>
                <w:lang w:bidi="zh-CN"/>
              </w:rPr>
            </w:pPr>
            <w:r>
              <w:rPr>
                <w:rFonts w:hint="eastAsia" w:ascii="宋体" w:hAnsi="宋体" w:cs="宋体"/>
                <w:szCs w:val="21"/>
                <w:lang w:bidi="zh-CN"/>
              </w:rPr>
              <w:t>7.10 视频理解</w:t>
            </w:r>
          </w:p>
          <w:p>
            <w:pPr>
              <w:snapToGrid w:val="0"/>
              <w:rPr>
                <w:rFonts w:hint="eastAsia" w:ascii="宋体" w:hAnsi="宋体" w:cs="宋体"/>
                <w:szCs w:val="21"/>
                <w:lang w:bidi="zh-CN"/>
              </w:rPr>
            </w:pPr>
            <w:r>
              <w:rPr>
                <w:rFonts w:hint="eastAsia" w:ascii="宋体" w:hAnsi="宋体" w:cs="宋体"/>
                <w:szCs w:val="21"/>
                <w:lang w:bidi="zh-CN"/>
              </w:rPr>
              <w:t>1)支持自定义上传视频，AI智能分析生成“智能速览”，总结视频摘要、片段摘要。</w:t>
            </w:r>
          </w:p>
          <w:p>
            <w:pPr>
              <w:snapToGrid w:val="0"/>
              <w:rPr>
                <w:rFonts w:hint="eastAsia" w:ascii="宋体" w:hAnsi="宋体" w:cs="宋体"/>
                <w:szCs w:val="21"/>
                <w:lang w:bidi="zh-CN"/>
              </w:rPr>
            </w:pPr>
            <w:r>
              <w:rPr>
                <w:rFonts w:hint="eastAsia" w:ascii="宋体" w:hAnsi="宋体" w:cs="宋体"/>
                <w:szCs w:val="21"/>
                <w:lang w:bidi="zh-CN"/>
              </w:rPr>
              <w:t>2)智能分析视频中的发言人，按发言人统计发言百分比、发言段落，以时间轴形式展示。</w:t>
            </w:r>
          </w:p>
          <w:p>
            <w:pPr>
              <w:snapToGrid w:val="0"/>
              <w:rPr>
                <w:rFonts w:hint="eastAsia" w:ascii="宋体" w:hAnsi="宋体" w:cs="宋体"/>
                <w:szCs w:val="21"/>
                <w:lang w:bidi="zh-CN"/>
              </w:rPr>
            </w:pPr>
            <w:r>
              <w:rPr>
                <w:rFonts w:hint="eastAsia" w:ascii="宋体" w:hAnsi="宋体" w:cs="宋体"/>
                <w:szCs w:val="21"/>
                <w:lang w:bidi="zh-CN"/>
              </w:rPr>
              <w:t>3)根据视频随机生成问题，可通过点击默认问题或自定义输入问题开展机器问答，平台通过匹配向量之间的相似性；</w:t>
            </w:r>
          </w:p>
          <w:p>
            <w:pPr>
              <w:snapToGrid w:val="0"/>
              <w:rPr>
                <w:rFonts w:hint="eastAsia" w:ascii="宋体" w:hAnsi="宋体" w:cs="宋体"/>
                <w:szCs w:val="21"/>
                <w:lang w:bidi="zh-CN"/>
              </w:rPr>
            </w:pPr>
            <w:r>
              <w:rPr>
                <w:rFonts w:hint="eastAsia" w:ascii="宋体" w:hAnsi="宋体" w:cs="宋体"/>
                <w:szCs w:val="21"/>
                <w:lang w:bidi="zh-CN"/>
              </w:rPr>
              <w:t>▲4)支持点击词云查看实体出现次数、时间段以及视频文本信息，快速了解视频的重点和主题；</w:t>
            </w:r>
          </w:p>
          <w:p>
            <w:pPr>
              <w:snapToGrid w:val="0"/>
              <w:rPr>
                <w:rFonts w:hint="eastAsia" w:ascii="宋体" w:hAnsi="宋体" w:cs="宋体"/>
                <w:szCs w:val="21"/>
                <w:lang w:bidi="zh-CN"/>
              </w:rPr>
            </w:pPr>
            <w:r>
              <w:rPr>
                <w:rFonts w:hint="eastAsia" w:ascii="宋体" w:hAnsi="宋体" w:cs="宋体"/>
                <w:szCs w:val="21"/>
                <w:lang w:bidi="zh-CN"/>
              </w:rPr>
              <w:t>5)通过对于视频的片段分析将复杂的概念和关系可视化，支持按照脑图或markdown格式切换查看，帮助知识整理和信息归纳；</w:t>
            </w:r>
          </w:p>
          <w:p>
            <w:pPr>
              <w:snapToGrid w:val="0"/>
              <w:rPr>
                <w:rFonts w:hint="eastAsia" w:ascii="宋体" w:hAnsi="宋体" w:cs="宋体"/>
                <w:szCs w:val="21"/>
                <w:lang w:bidi="zh-CN"/>
              </w:rPr>
            </w:pPr>
            <w:r>
              <w:rPr>
                <w:rFonts w:hint="eastAsia" w:ascii="宋体" w:hAnsi="宋体" w:cs="宋体"/>
                <w:szCs w:val="21"/>
                <w:lang w:bidi="zh-CN"/>
              </w:rPr>
              <w:t>▲6)通过对视频片段的分析，支持按照片段查看系统生成的相关试题，生成的试题均为本视频相关内容试题。</w:t>
            </w:r>
          </w:p>
          <w:p>
            <w:pPr>
              <w:snapToGrid w:val="0"/>
              <w:rPr>
                <w:rFonts w:hint="eastAsia" w:ascii="宋体" w:hAnsi="宋体" w:cs="宋体"/>
                <w:szCs w:val="21"/>
                <w:lang w:bidi="zh-CN"/>
              </w:rPr>
            </w:pPr>
            <w:r>
              <w:rPr>
                <w:rFonts w:hint="eastAsia" w:ascii="宋体" w:hAnsi="宋体" w:cs="宋体"/>
                <w:szCs w:val="21"/>
                <w:lang w:bidi="zh-CN"/>
              </w:rPr>
              <w:t>7)智能生成视频字幕，随视频播放自动轮播，支持对字幕内容二次编辑。</w:t>
            </w:r>
          </w:p>
          <w:p>
            <w:pPr>
              <w:snapToGrid w:val="0"/>
              <w:rPr>
                <w:rFonts w:hint="eastAsia" w:ascii="宋体" w:hAnsi="宋体" w:cs="宋体"/>
                <w:szCs w:val="21"/>
                <w:lang w:bidi="zh-CN"/>
              </w:rPr>
            </w:pPr>
            <w:r>
              <w:rPr>
                <w:rFonts w:hint="eastAsia" w:ascii="宋体" w:hAnsi="宋体" w:cs="宋体"/>
                <w:szCs w:val="21"/>
                <w:lang w:bidi="zh-CN"/>
              </w:rPr>
              <w:t>7.11 章节内容智能审查与文本纠错</w:t>
            </w:r>
          </w:p>
          <w:p>
            <w:pPr>
              <w:snapToGrid w:val="0"/>
              <w:rPr>
                <w:rFonts w:hint="eastAsia" w:ascii="宋体" w:hAnsi="宋体" w:cs="宋体"/>
                <w:szCs w:val="21"/>
                <w:lang w:bidi="zh-CN"/>
              </w:rPr>
            </w:pPr>
            <w:r>
              <w:rPr>
                <w:rFonts w:hint="eastAsia" w:ascii="宋体" w:hAnsi="宋体" w:cs="宋体"/>
                <w:szCs w:val="21"/>
                <w:lang w:bidi="zh-CN"/>
              </w:rPr>
              <w:t>支持实现文字自动校对，包括错字、漏字、缺字、多字、语法、错误、语义错误等都可以实现自动校对标注。</w:t>
            </w:r>
          </w:p>
          <w:p>
            <w:pPr>
              <w:snapToGrid w:val="0"/>
              <w:rPr>
                <w:rFonts w:hint="eastAsia" w:ascii="宋体" w:hAnsi="宋体" w:cs="宋体"/>
                <w:szCs w:val="21"/>
                <w:lang w:bidi="zh-CN"/>
              </w:rPr>
            </w:pPr>
            <w:r>
              <w:rPr>
                <w:rFonts w:hint="eastAsia" w:ascii="宋体" w:hAnsi="宋体" w:cs="宋体"/>
                <w:szCs w:val="21"/>
                <w:lang w:bidi="zh-CN"/>
              </w:rPr>
              <w:t>7.12 作业智能查重</w:t>
            </w:r>
          </w:p>
          <w:p>
            <w:pPr>
              <w:snapToGrid w:val="0"/>
              <w:rPr>
                <w:rFonts w:hint="eastAsia" w:ascii="宋体" w:hAnsi="宋体" w:cs="宋体"/>
                <w:szCs w:val="21"/>
                <w:lang w:bidi="zh-CN"/>
              </w:rPr>
            </w:pPr>
            <w:r>
              <w:rPr>
                <w:rFonts w:hint="eastAsia" w:ascii="宋体" w:hAnsi="宋体" w:cs="宋体"/>
                <w:szCs w:val="21"/>
                <w:lang w:bidi="zh-CN"/>
              </w:rPr>
              <w:t>▲1)比对基础库中的数据包含图书、报纸、期刊、网络文档等多种文献类型；</w:t>
            </w:r>
          </w:p>
          <w:p>
            <w:pPr>
              <w:snapToGrid w:val="0"/>
              <w:rPr>
                <w:rFonts w:hint="eastAsia" w:ascii="宋体" w:hAnsi="宋体" w:cs="宋体"/>
                <w:szCs w:val="21"/>
                <w:lang w:bidi="zh-CN"/>
              </w:rPr>
            </w:pPr>
            <w:r>
              <w:rPr>
                <w:rFonts w:hint="eastAsia" w:ascii="宋体" w:hAnsi="宋体" w:cs="宋体"/>
                <w:szCs w:val="21"/>
                <w:lang w:bidi="zh-CN"/>
              </w:rPr>
              <w:t>2)支持选择不同的比对库，包含全部全文比对库、图书全文比对库、非图书全文比对库、法律法规比对库、自建库选择进行检测。每万字的检测需在数秒内完成，并在10分钟内提供检测报告；</w:t>
            </w:r>
          </w:p>
          <w:p>
            <w:pPr>
              <w:snapToGrid w:val="0"/>
              <w:rPr>
                <w:rFonts w:hint="eastAsia" w:ascii="宋体" w:hAnsi="宋体" w:cs="宋体"/>
                <w:szCs w:val="21"/>
                <w:lang w:bidi="zh-CN"/>
              </w:rPr>
            </w:pPr>
            <w:r>
              <w:rPr>
                <w:rFonts w:hint="eastAsia" w:ascii="宋体" w:hAnsi="宋体" w:cs="宋体"/>
                <w:szCs w:val="21"/>
                <w:lang w:bidi="zh-CN"/>
              </w:rPr>
              <w:t>3)支持30M以上的TXT、DOC、PDF、DOCX、ZIP、RAR多种格式以及非加密文档的上传检测；支持ZIP、RAR压缩包形式上传（大小需在50M以内）；</w:t>
            </w:r>
          </w:p>
          <w:p>
            <w:pPr>
              <w:snapToGrid w:val="0"/>
              <w:rPr>
                <w:rFonts w:hint="eastAsia" w:ascii="宋体" w:hAnsi="宋体" w:cs="宋体"/>
                <w:szCs w:val="21"/>
                <w:lang w:bidi="zh-CN"/>
              </w:rPr>
            </w:pPr>
            <w:r>
              <w:rPr>
                <w:rFonts w:hint="eastAsia" w:ascii="宋体" w:hAnsi="宋体" w:cs="宋体"/>
                <w:szCs w:val="21"/>
                <w:lang w:bidi="zh-CN"/>
              </w:rPr>
              <w:t>4)支持点击选择文件上传文档或者将50字以上、1万字以下的文本直接粘贴到文本框中进行检测；</w:t>
            </w:r>
          </w:p>
          <w:p>
            <w:pPr>
              <w:snapToGrid w:val="0"/>
              <w:rPr>
                <w:rFonts w:hint="eastAsia" w:ascii="宋体" w:hAnsi="宋体" w:cs="宋体"/>
                <w:szCs w:val="21"/>
                <w:lang w:bidi="zh-CN"/>
              </w:rPr>
            </w:pPr>
            <w:r>
              <w:rPr>
                <w:rFonts w:hint="eastAsia" w:ascii="宋体" w:hAnsi="宋体" w:cs="宋体"/>
                <w:szCs w:val="21"/>
                <w:lang w:bidi="zh-CN"/>
              </w:rPr>
              <w:t>5)支持根据上传的检测文献生成检测报告，支持查看在线报告，也支持批量下载全部检测报告、批量下载PDF报告；</w:t>
            </w:r>
          </w:p>
          <w:p>
            <w:pPr>
              <w:snapToGrid w:val="0"/>
              <w:rPr>
                <w:rFonts w:hint="eastAsia" w:ascii="宋体" w:hAnsi="宋体" w:cs="宋体"/>
                <w:szCs w:val="21"/>
                <w:lang w:bidi="zh-CN"/>
              </w:rPr>
            </w:pPr>
            <w:r>
              <w:rPr>
                <w:rFonts w:hint="eastAsia" w:ascii="宋体" w:hAnsi="宋体" w:cs="宋体"/>
                <w:szCs w:val="21"/>
                <w:lang w:bidi="zh-CN"/>
              </w:rPr>
              <w:t>6)用户可下载PDF报告（简结报告、全文检测报告）和HTML报告（综合评估、相似片段、全文对比）进行查看和打印，（PDF报告和HTML报告均提供相似度检测专用印章）；</w:t>
            </w:r>
          </w:p>
          <w:p>
            <w:pPr>
              <w:snapToGrid w:val="0"/>
              <w:rPr>
                <w:rFonts w:hint="eastAsia" w:ascii="宋体" w:hAnsi="宋体" w:cs="宋体"/>
                <w:szCs w:val="21"/>
                <w:lang w:bidi="zh-CN"/>
              </w:rPr>
            </w:pPr>
            <w:r>
              <w:rPr>
                <w:rFonts w:hint="eastAsia" w:ascii="宋体" w:hAnsi="宋体" w:cs="宋体"/>
                <w:szCs w:val="21"/>
                <w:lang w:bidi="zh-CN"/>
              </w:rPr>
              <w:t>▲7)支持查看最密集相似段、密集相似段、非密集相似段；</w:t>
            </w:r>
          </w:p>
          <w:p>
            <w:pPr>
              <w:snapToGrid w:val="0"/>
              <w:rPr>
                <w:rFonts w:hint="eastAsia" w:ascii="宋体" w:hAnsi="宋体" w:cs="宋体"/>
                <w:szCs w:val="21"/>
                <w:lang w:bidi="zh-CN"/>
              </w:rPr>
            </w:pPr>
            <w:r>
              <w:rPr>
                <w:rFonts w:hint="eastAsia" w:ascii="宋体" w:hAnsi="宋体" w:cs="宋体"/>
                <w:szCs w:val="21"/>
                <w:lang w:bidi="zh-CN"/>
              </w:rPr>
              <w:t>▲8)支持按文献类型查看典型相似图书列表、典型相似报纸列表、典型相似期刊列表、典型相似网络文档列表，支持在检测结果中，单独查看两两文献的比对结果。</w:t>
            </w:r>
          </w:p>
          <w:p>
            <w:pPr>
              <w:snapToGrid w:val="0"/>
              <w:rPr>
                <w:rFonts w:hint="eastAsia" w:ascii="宋体" w:hAnsi="宋体" w:cs="宋体"/>
                <w:szCs w:val="21"/>
                <w:lang w:bidi="zh-CN"/>
              </w:rPr>
            </w:pPr>
            <w:r>
              <w:rPr>
                <w:rFonts w:hint="eastAsia" w:ascii="宋体" w:hAnsi="宋体" w:cs="宋体"/>
                <w:szCs w:val="21"/>
                <w:lang w:bidi="zh-CN"/>
              </w:rPr>
              <w:t>7.13 视频智能分析</w:t>
            </w:r>
          </w:p>
          <w:p>
            <w:pPr>
              <w:snapToGrid w:val="0"/>
              <w:rPr>
                <w:rFonts w:hint="eastAsia" w:ascii="宋体" w:hAnsi="宋体" w:cs="宋体"/>
                <w:szCs w:val="21"/>
                <w:lang w:bidi="zh-CN"/>
              </w:rPr>
            </w:pPr>
            <w:r>
              <w:rPr>
                <w:rFonts w:hint="eastAsia" w:ascii="宋体" w:hAnsi="宋体" w:cs="宋体"/>
                <w:szCs w:val="21"/>
                <w:lang w:bidi="zh-CN"/>
              </w:rPr>
              <w:t>1）对课程建设系统中的视频进行智能分析，自动匹配课程中的知识点，并在视频对应的时间点进行自动打点；</w:t>
            </w:r>
          </w:p>
          <w:p>
            <w:pPr>
              <w:snapToGrid w:val="0"/>
              <w:rPr>
                <w:rFonts w:hint="eastAsia" w:ascii="宋体" w:hAnsi="宋体" w:cs="宋体"/>
                <w:szCs w:val="21"/>
                <w:lang w:bidi="zh-CN"/>
              </w:rPr>
            </w:pPr>
            <w:r>
              <w:rPr>
                <w:rFonts w:hint="eastAsia" w:ascii="宋体" w:hAnsi="宋体" w:cs="宋体"/>
                <w:szCs w:val="21"/>
                <w:lang w:bidi="zh-CN"/>
              </w:rPr>
              <w:t>2）基于人工智能技术生成知识点词云分析并展示；</w:t>
            </w:r>
          </w:p>
          <w:p>
            <w:pPr>
              <w:snapToGrid w:val="0"/>
              <w:rPr>
                <w:rFonts w:hint="eastAsia" w:ascii="宋体" w:hAnsi="宋体" w:cs="宋体"/>
                <w:szCs w:val="21"/>
                <w:lang w:bidi="zh-CN"/>
              </w:rPr>
            </w:pPr>
            <w:r>
              <w:rPr>
                <w:rFonts w:hint="eastAsia" w:ascii="宋体" w:hAnsi="宋体" w:cs="宋体"/>
                <w:szCs w:val="21"/>
                <w:lang w:bidi="zh-CN"/>
              </w:rPr>
              <w:t>3）支持视频播放时学生可以定位到时间点观看对应知识点的视频讲解。</w:t>
            </w:r>
          </w:p>
          <w:p>
            <w:pPr>
              <w:snapToGrid w:val="0"/>
              <w:rPr>
                <w:rFonts w:hint="eastAsia" w:ascii="宋体" w:hAnsi="宋体" w:cs="宋体"/>
                <w:szCs w:val="21"/>
                <w:lang w:bidi="zh-CN"/>
              </w:rPr>
            </w:pPr>
            <w:r>
              <w:rPr>
                <w:rFonts w:hint="eastAsia" w:ascii="宋体" w:hAnsi="宋体" w:cs="宋体"/>
                <w:szCs w:val="21"/>
                <w:lang w:bidi="zh-CN"/>
              </w:rPr>
              <w:t>7.14 智能翻译</w:t>
            </w:r>
          </w:p>
          <w:p>
            <w:pPr>
              <w:snapToGrid w:val="0"/>
              <w:rPr>
                <w:rFonts w:hint="eastAsia" w:ascii="宋体" w:hAnsi="宋体" w:cs="宋体"/>
                <w:szCs w:val="21"/>
                <w:lang w:bidi="zh-CN"/>
              </w:rPr>
            </w:pPr>
            <w:r>
              <w:rPr>
                <w:rFonts w:hint="eastAsia" w:ascii="宋体" w:hAnsi="宋体" w:cs="宋体"/>
                <w:szCs w:val="21"/>
                <w:lang w:bidi="zh-CN"/>
              </w:rPr>
              <w:t>▲1)支持用户自行上传文件进行双语翻译（文件至少为10MB内无加密PDF文件）。</w:t>
            </w:r>
          </w:p>
          <w:p>
            <w:pPr>
              <w:snapToGrid w:val="0"/>
              <w:rPr>
                <w:rFonts w:hint="eastAsia" w:ascii="宋体" w:hAnsi="宋体" w:cs="宋体"/>
                <w:szCs w:val="21"/>
                <w:lang w:bidi="zh-CN"/>
              </w:rPr>
            </w:pPr>
            <w:r>
              <w:rPr>
                <w:rFonts w:hint="eastAsia" w:ascii="宋体" w:hAnsi="宋体" w:cs="宋体"/>
                <w:szCs w:val="21"/>
                <w:lang w:bidi="zh-CN"/>
              </w:rPr>
              <w:t>2)支持单语切换：一键切换阅读模式。在开启“同步滑动”的情况下，实现页面同步跳转，方便阅读；</w:t>
            </w:r>
          </w:p>
          <w:p>
            <w:pPr>
              <w:snapToGrid w:val="0"/>
              <w:rPr>
                <w:rFonts w:hint="eastAsia" w:ascii="宋体" w:hAnsi="宋体" w:cs="宋体"/>
                <w:szCs w:val="21"/>
                <w:lang w:bidi="zh-CN"/>
              </w:rPr>
            </w:pPr>
            <w:r>
              <w:rPr>
                <w:rFonts w:hint="eastAsia" w:ascii="宋体" w:hAnsi="宋体" w:cs="宋体"/>
                <w:szCs w:val="21"/>
                <w:lang w:bidi="zh-CN"/>
              </w:rPr>
              <w:t>3)支持查词定位：原文、译文阅读界面均支持文章内容的精准查找定位，支持高亮显示和大小写区分，方便用户通过关键词快速检索文章内容；</w:t>
            </w:r>
          </w:p>
          <w:p>
            <w:pPr>
              <w:snapToGrid w:val="0"/>
              <w:rPr>
                <w:rFonts w:hint="eastAsia" w:ascii="宋体" w:hAnsi="宋体" w:cs="宋体"/>
                <w:szCs w:val="21"/>
                <w:lang w:bidi="zh-CN"/>
              </w:rPr>
            </w:pPr>
            <w:r>
              <w:rPr>
                <w:rFonts w:hint="eastAsia" w:ascii="宋体" w:hAnsi="宋体" w:cs="宋体"/>
                <w:szCs w:val="21"/>
                <w:lang w:bidi="zh-CN"/>
              </w:rPr>
              <w:t>4)支持页码定位：支持用户通过上下滑动进行定位，同时支持输入页码调试定位；</w:t>
            </w:r>
          </w:p>
          <w:p>
            <w:pPr>
              <w:snapToGrid w:val="0"/>
              <w:rPr>
                <w:rFonts w:hint="eastAsia" w:ascii="宋体" w:hAnsi="宋体" w:cs="宋体"/>
                <w:szCs w:val="21"/>
                <w:lang w:bidi="zh-CN"/>
              </w:rPr>
            </w:pPr>
            <w:r>
              <w:rPr>
                <w:rFonts w:hint="eastAsia" w:ascii="宋体" w:hAnsi="宋体" w:cs="宋体"/>
                <w:szCs w:val="21"/>
                <w:lang w:bidi="zh-CN"/>
              </w:rPr>
              <w:t>5)支持调整阅读比例：支持自动缩放、实际大小、适合页宽以及100%、125%、150%的页面调整；</w:t>
            </w:r>
          </w:p>
          <w:p>
            <w:pPr>
              <w:snapToGrid w:val="0"/>
              <w:rPr>
                <w:rFonts w:hint="eastAsia" w:ascii="宋体" w:hAnsi="宋体" w:cs="宋体"/>
                <w:szCs w:val="21"/>
                <w:lang w:bidi="zh-CN"/>
              </w:rPr>
            </w:pPr>
            <w:r>
              <w:rPr>
                <w:rFonts w:hint="eastAsia" w:ascii="宋体" w:hAnsi="宋体" w:cs="宋体"/>
                <w:szCs w:val="21"/>
                <w:lang w:bidi="zh-CN"/>
              </w:rPr>
              <w:t>▲6)支持开启划词翻译功能，选中原文、译文文本并翻译；</w:t>
            </w:r>
          </w:p>
          <w:p>
            <w:pPr>
              <w:snapToGrid w:val="0"/>
              <w:rPr>
                <w:rFonts w:hint="eastAsia" w:ascii="宋体" w:hAnsi="宋体" w:cs="宋体"/>
                <w:szCs w:val="21"/>
                <w:lang w:bidi="zh-CN"/>
              </w:rPr>
            </w:pPr>
            <w:r>
              <w:rPr>
                <w:rFonts w:hint="eastAsia" w:ascii="宋体" w:hAnsi="宋体" w:cs="宋体"/>
                <w:szCs w:val="21"/>
                <w:lang w:bidi="zh-CN"/>
              </w:rPr>
              <w:t>7)支持演示（全屏）模式。</w:t>
            </w:r>
          </w:p>
          <w:p>
            <w:pPr>
              <w:snapToGrid w:val="0"/>
            </w:pPr>
            <w:r>
              <w:rPr>
                <w:rFonts w:hint="eastAsia" w:ascii="宋体" w:hAnsi="宋体" w:cs="宋体"/>
                <w:szCs w:val="21"/>
                <w:lang w:bidi="zh-CN"/>
              </w:rPr>
              <w:t>7.15 公式识别：教师录入公式后，系统自动将图片公式分析出来并可转换为latex公式。</w:t>
            </w:r>
          </w:p>
        </w:tc>
        <w:tc>
          <w:tcPr>
            <w:tcW w:w="279" w:type="pct"/>
            <w:vAlign w:val="center"/>
          </w:tcPr>
          <w:p>
            <w:pPr>
              <w:snapToGrid w:val="0"/>
              <w:jc w:val="center"/>
              <w:rPr>
                <w:rFonts w:hint="eastAsia" w:eastAsia="宋体"/>
                <w:lang w:val="en-US" w:eastAsia="zh-CN"/>
              </w:rPr>
            </w:pPr>
            <w:r>
              <w:rPr>
                <w:rFonts w:hint="eastAsia"/>
                <w:lang w:val="en-US" w:eastAsia="zh-CN"/>
              </w:rPr>
              <w:t>1</w:t>
            </w:r>
          </w:p>
        </w:tc>
        <w:tc>
          <w:tcPr>
            <w:tcW w:w="279" w:type="pct"/>
            <w:vAlign w:val="center"/>
          </w:tcPr>
          <w:p>
            <w:pPr>
              <w:snapToGrid w:val="0"/>
              <w:jc w:val="center"/>
              <w:rPr>
                <w:rFonts w:hint="eastAsia" w:eastAsia="宋体"/>
                <w:lang w:val="en-US" w:eastAsia="zh-CN"/>
              </w:rPr>
            </w:pPr>
            <w:r>
              <w:rPr>
                <w:rFonts w:hint="eastAsia"/>
                <w:lang w:val="en-US" w:eastAsia="zh-CN"/>
              </w:rPr>
              <w:t>门</w:t>
            </w:r>
          </w:p>
        </w:tc>
        <w:tc>
          <w:tcPr>
            <w:tcW w:w="620" w:type="pct"/>
            <w:vAlign w:val="center"/>
          </w:tcPr>
          <w:p>
            <w:pPr>
              <w:snapToGrid w:val="0"/>
              <w:rPr>
                <w:rFonts w:hint="default" w:eastAsia="宋体"/>
                <w:lang w:val="en-US" w:eastAsia="zh-CN"/>
              </w:rPr>
            </w:pPr>
            <w:r>
              <w:rPr>
                <w:rFonts w:hint="eastAsia"/>
                <w:lang w:val="en-US" w:eastAsia="zh-CN"/>
              </w:rPr>
              <w:t>70000.00</w:t>
            </w:r>
          </w:p>
        </w:tc>
        <w:tc>
          <w:tcPr>
            <w:tcW w:w="627" w:type="pct"/>
            <w:vAlign w:val="center"/>
          </w:tcPr>
          <w:p>
            <w:pPr>
              <w:snapToGrid w:val="0"/>
              <w:rPr>
                <w:rFonts w:hint="default" w:eastAsia="宋体"/>
                <w:lang w:val="en-US" w:eastAsia="zh-CN"/>
              </w:rPr>
            </w:pPr>
            <w:r>
              <w:rPr>
                <w:rFonts w:hint="eastAsia"/>
                <w:lang w:val="en-US" w:eastAsia="zh-CN"/>
              </w:rPr>
              <w:t>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8"/>
            <w:vAlign w:val="center"/>
          </w:tcPr>
          <w:p>
            <w:pPr>
              <w:snapToGrid w:val="0"/>
              <w:rPr>
                <w:rFonts w:hint="default" w:eastAsia="宋体"/>
                <w:lang w:val="en-US" w:eastAsia="zh-CN" w:bidi="ar"/>
              </w:rPr>
            </w:pPr>
            <w:r>
              <w:rPr>
                <w:rFonts w:hint="eastAsia"/>
                <w:lang w:val="en-US" w:eastAsia="zh-CN" w:bidi="ar"/>
              </w:rPr>
              <w:t>合计：70000元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8"/>
            <w:noWrap w:val="0"/>
            <w:vAlign w:val="center"/>
          </w:tcPr>
          <w:p>
            <w:pPr>
              <w:adjustRightInd w:val="0"/>
              <w:snapToGrid w:val="0"/>
              <w:spacing w:line="360" w:lineRule="exact"/>
              <w:ind w:right="30"/>
              <w:jc w:val="left"/>
              <w:rPr>
                <w:rFonts w:hint="eastAsia" w:ascii="宋体" w:hAnsi="宋体" w:cs="宋体"/>
                <w:b/>
                <w:szCs w:val="21"/>
              </w:rPr>
            </w:pPr>
            <w:r>
              <w:rPr>
                <w:rFonts w:hint="eastAsia" w:ascii="宋体" w:hAnsi="宋体" w:cs="宋体"/>
                <w:b/>
                <w:szCs w:val="21"/>
              </w:rPr>
              <w:t>商务条款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合同签订期</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自</w:t>
            </w:r>
            <w:r>
              <w:rPr>
                <w:rFonts w:hint="eastAsia" w:ascii="宋体" w:hAnsi="宋体" w:cs="宋体"/>
                <w:szCs w:val="21"/>
                <w:lang w:val="en-US" w:eastAsia="zh-CN"/>
              </w:rPr>
              <w:t>成交</w:t>
            </w:r>
            <w:r>
              <w:rPr>
                <w:rFonts w:hint="eastAsia" w:ascii="宋体" w:hAnsi="宋体" w:cs="宋体"/>
                <w:szCs w:val="21"/>
              </w:rPr>
              <w:t xml:space="preserve">通知书发出之日起 </w:t>
            </w:r>
            <w:r>
              <w:rPr>
                <w:rFonts w:hint="eastAsia" w:ascii="宋体" w:hAnsi="宋体" w:cs="宋体"/>
                <w:szCs w:val="21"/>
                <w:lang w:val="en-US" w:eastAsia="zh-CN"/>
              </w:rPr>
              <w:t>10</w:t>
            </w:r>
            <w:r>
              <w:rPr>
                <w:rFonts w:hint="eastAsia" w:ascii="宋体" w:hAnsi="宋体" w:cs="宋体"/>
                <w:szCs w:val="21"/>
              </w:rPr>
              <w:t>个工作日内。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质保期</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自合同签订之日后1年整。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售后技术服务要求</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1.成交供应商在项目服务期间需投入技术人员不少于2人，便于与教师沟通交流；提供7*24小时的技术服务，并确保服务效率。</w:t>
            </w:r>
          </w:p>
          <w:p>
            <w:pPr>
              <w:adjustRightInd w:val="0"/>
              <w:snapToGrid w:val="0"/>
              <w:spacing w:line="360" w:lineRule="exact"/>
              <w:rPr>
                <w:rFonts w:hint="eastAsia" w:ascii="宋体" w:hAnsi="宋体" w:cs="宋体"/>
                <w:szCs w:val="21"/>
              </w:rPr>
            </w:pPr>
            <w:r>
              <w:rPr>
                <w:rFonts w:hint="eastAsia" w:ascii="宋体" w:hAnsi="宋体" w:cs="宋体"/>
                <w:szCs w:val="21"/>
              </w:rPr>
              <w:t>2.在服务期内，如发生质量问题，成交供应商保证在接到通知后，应在4小时内立即给予答复；并派合格的维修工程师在12小时内到用户现场进行维修，所产生的费用由成交供应商负责。如成交供应商在接到通知的24小时内没有处理问题，则视为承认质量问题并承担由此而发生的一切费用。质保期间的一切质量问题，造成的直接经济损失应全部由成交供应商自行负责。</w:t>
            </w:r>
          </w:p>
          <w:p>
            <w:pPr>
              <w:adjustRightInd w:val="0"/>
              <w:snapToGrid w:val="0"/>
              <w:spacing w:line="360" w:lineRule="exact"/>
              <w:rPr>
                <w:rFonts w:hint="eastAsia" w:ascii="宋体" w:hAnsi="宋体" w:cs="宋体"/>
                <w:szCs w:val="21"/>
              </w:rPr>
            </w:pPr>
            <w:r>
              <w:rPr>
                <w:rFonts w:hint="eastAsia" w:ascii="宋体" w:hAnsi="宋体" w:cs="宋体"/>
                <w:szCs w:val="21"/>
              </w:rPr>
              <w:t>3.要求能通过电话、电子邮件、网站支持、远程协助等方式对客户咨询、学生问题进行及时处理。</w:t>
            </w:r>
          </w:p>
          <w:p>
            <w:pPr>
              <w:adjustRightInd w:val="0"/>
              <w:snapToGrid w:val="0"/>
              <w:spacing w:line="360" w:lineRule="exact"/>
              <w:rPr>
                <w:rFonts w:hint="eastAsia" w:ascii="宋体" w:hAnsi="宋体" w:cs="宋体"/>
                <w:szCs w:val="21"/>
              </w:rPr>
            </w:pPr>
            <w:r>
              <w:rPr>
                <w:rFonts w:hint="eastAsia" w:ascii="宋体" w:hAnsi="宋体" w:cs="宋体"/>
                <w:szCs w:val="21"/>
              </w:rPr>
              <w:t>4.负责各项技术支撑工作，如课程数据维护、网站维护、数据统计、日常问题处理、突发事件处理等。</w:t>
            </w:r>
          </w:p>
          <w:p>
            <w:pPr>
              <w:adjustRightInd w:val="0"/>
              <w:snapToGrid w:val="0"/>
              <w:spacing w:line="360" w:lineRule="exact"/>
              <w:rPr>
                <w:rFonts w:hint="eastAsia" w:ascii="宋体" w:hAnsi="宋体" w:cs="宋体"/>
                <w:szCs w:val="21"/>
              </w:rPr>
            </w:pPr>
            <w:r>
              <w:rPr>
                <w:rFonts w:hint="eastAsia" w:ascii="宋体" w:hAnsi="宋体" w:cs="宋体"/>
                <w:szCs w:val="21"/>
              </w:rPr>
              <w:t>5.根据日常的技术支撑情况，提出有关网络课堂运行和业务开展的合理建议。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交付时间及地点</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1.交付时间：自合同签订之日后30 个工作日内交付并验收完毕。</w:t>
            </w:r>
            <w:r>
              <w:rPr>
                <w:rFonts w:hint="eastAsia" w:ascii="宋体" w:hAnsi="宋体" w:cs="宋体"/>
                <w:szCs w:val="21"/>
              </w:rPr>
              <w:br w:type="textWrapping"/>
            </w:r>
            <w:r>
              <w:rPr>
                <w:rFonts w:hint="eastAsia" w:ascii="宋体" w:hAnsi="宋体" w:cs="宋体"/>
                <w:szCs w:val="21"/>
              </w:rPr>
              <w:t>2.交付地点：</w:t>
            </w:r>
            <w:r>
              <w:rPr>
                <w:rFonts w:hint="eastAsia" w:ascii="宋体" w:hAnsi="宋体" w:cs="宋体"/>
                <w:szCs w:val="21"/>
                <w:lang w:eastAsia="zh-CN"/>
              </w:rPr>
              <w:t>广西南宁技师学院</w:t>
            </w:r>
            <w:r>
              <w:rPr>
                <w:rFonts w:hint="eastAsia" w:ascii="宋体" w:hAnsi="宋体" w:cs="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highlight w:val="none"/>
              </w:rPr>
              <w:t>付款条件</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本项目无预付款，</w:t>
            </w:r>
            <w:r>
              <w:rPr>
                <w:rFonts w:hint="eastAsia" w:ascii="宋体" w:hAnsi="宋体" w:cs="宋体"/>
                <w:szCs w:val="21"/>
                <w:lang w:val="en-US" w:eastAsia="zh-CN"/>
              </w:rPr>
              <w:t>服务</w:t>
            </w:r>
            <w:r>
              <w:rPr>
                <w:rFonts w:hint="eastAsia" w:ascii="宋体" w:hAnsi="宋体" w:cs="宋体"/>
                <w:szCs w:val="21"/>
              </w:rPr>
              <w:t>经甲方（采购方）书面验收合格后，乙方将发票交甲方向市财政局提交用款申请批复后支付合同款。鉴于本合同/协议款项系使用财政资金支付，甲方付款须以财政预算资金下达为前提，如因财政预算调整或未下达导致甲方无法按约付款，付款期限自动顺延至预算批复后，甲方在验收合格后向财政部门申请付款，既视为甲方已履行支付义务，具体付款时间以财政部门批复并支付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报价要求</w:t>
            </w:r>
          </w:p>
        </w:tc>
        <w:tc>
          <w:tcPr>
            <w:tcW w:w="3297" w:type="pct"/>
            <w:gridSpan w:val="5"/>
            <w:noWrap w:val="0"/>
            <w:vAlign w:val="center"/>
          </w:tcPr>
          <w:p>
            <w:pPr>
              <w:rPr>
                <w:rFonts w:hint="eastAsia" w:ascii="宋体" w:hAnsi="宋体" w:cs="宋体"/>
                <w:szCs w:val="21"/>
              </w:rPr>
            </w:pPr>
            <w:r>
              <w:rPr>
                <w:rFonts w:hint="eastAsia"/>
              </w:rPr>
              <w:t>本项目的总报价应包括：标的、运费、保管、调试、验收、保修、税费(包括关税、增值税等)、仓储费、资料、质保期等的全部费用；采购人不再承担任何费用。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验收标准</w:t>
            </w:r>
          </w:p>
        </w:tc>
        <w:tc>
          <w:tcPr>
            <w:tcW w:w="3297" w:type="pct"/>
            <w:gridSpan w:val="5"/>
            <w:noWrap w:val="0"/>
            <w:vAlign w:val="center"/>
          </w:tcPr>
          <w:p>
            <w:pPr>
              <w:snapToGrid w:val="0"/>
              <w:rPr>
                <w:rFonts w:hint="eastAsia" w:ascii="宋体" w:hAnsi="宋体" w:cs="宋体"/>
                <w:szCs w:val="21"/>
              </w:rPr>
            </w:pPr>
            <w:r>
              <w:rPr>
                <w:rFonts w:hint="eastAsia" w:ascii="宋体" w:hAnsi="宋体" w:cs="宋体"/>
                <w:szCs w:val="21"/>
              </w:rPr>
              <w:t>要求供应商所供应的软件符合现行国家相关标准、行业标准、地方标准或者其他标准、规范。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8"/>
            <w:noWrap w:val="0"/>
            <w:vAlign w:val="center"/>
          </w:tcPr>
          <w:p>
            <w:pPr>
              <w:adjustRightInd w:val="0"/>
              <w:snapToGrid w:val="0"/>
              <w:spacing w:line="360" w:lineRule="exact"/>
              <w:rPr>
                <w:rFonts w:hint="eastAsia" w:ascii="宋体" w:hAnsi="宋体" w:cs="宋体"/>
                <w:b/>
                <w:szCs w:val="21"/>
              </w:rPr>
            </w:pPr>
            <w:r>
              <w:rPr>
                <w:rFonts w:hint="eastAsia" w:ascii="宋体" w:hAnsi="宋体" w:cs="宋体"/>
                <w:b/>
                <w:szCs w:val="21"/>
              </w:rPr>
              <w:t>采购人对项目的其他要求和说明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02" w:type="pct"/>
            <w:gridSpan w:val="3"/>
            <w:noWrap w:val="0"/>
            <w:vAlign w:val="center"/>
          </w:tcPr>
          <w:p>
            <w:pPr>
              <w:adjustRightInd w:val="0"/>
              <w:snapToGrid w:val="0"/>
              <w:spacing w:line="360" w:lineRule="exact"/>
              <w:jc w:val="center"/>
              <w:rPr>
                <w:rFonts w:hint="eastAsia" w:ascii="宋体" w:hAnsi="宋体" w:cs="宋体"/>
                <w:b/>
                <w:bCs/>
                <w:szCs w:val="21"/>
              </w:rPr>
            </w:pPr>
            <w:r>
              <w:rPr>
                <w:rFonts w:hint="eastAsia" w:ascii="宋体" w:hAnsi="宋体" w:cs="宋体"/>
                <w:b/>
                <w:bCs/>
                <w:szCs w:val="21"/>
              </w:rPr>
              <w:t>其他要求</w:t>
            </w:r>
          </w:p>
        </w:tc>
        <w:tc>
          <w:tcPr>
            <w:tcW w:w="3297" w:type="pct"/>
            <w:gridSpan w:val="5"/>
            <w:noWrap w:val="0"/>
            <w:vAlign w:val="center"/>
          </w:tcPr>
          <w:p>
            <w:pPr>
              <w:adjustRightInd w:val="0"/>
              <w:snapToGrid w:val="0"/>
              <w:spacing w:line="360" w:lineRule="exact"/>
              <w:rPr>
                <w:rFonts w:hint="eastAsia" w:ascii="宋体" w:hAnsi="宋体" w:cs="宋体"/>
                <w:szCs w:val="21"/>
              </w:rPr>
            </w:pPr>
            <w:r>
              <w:rPr>
                <w:rFonts w:hint="eastAsia" w:ascii="宋体" w:hAnsi="宋体" w:cs="宋体"/>
                <w:szCs w:val="21"/>
              </w:rPr>
              <w:t>本项目产品不接受进口产品（即通过中国海关报关验放进入中国境内且产自关境外的产品）参与竞标，</w:t>
            </w:r>
            <w:r>
              <w:rPr>
                <w:rFonts w:hint="eastAsia" w:ascii="宋体" w:hAnsi="宋体" w:cs="宋体"/>
                <w:b/>
                <w:szCs w:val="21"/>
              </w:rPr>
              <w:t>如有进口产品参与竞标的，其响应文件作无效处理</w:t>
            </w:r>
            <w:r>
              <w:rPr>
                <w:rFonts w:hint="eastAsia" w:ascii="宋体" w:hAnsi="宋体" w:cs="宋体"/>
                <w:szCs w:val="21"/>
              </w:rPr>
              <w:t>。</w:t>
            </w:r>
          </w:p>
        </w:tc>
      </w:tr>
    </w:tbl>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rPr>
          <w:rFonts w:ascii="宋体" w:hAnsi="宋体" w:cs="宋体"/>
          <w:highlight w:val="yellow"/>
        </w:rPr>
        <w:sectPr>
          <w:headerReference r:id="rId7" w:type="default"/>
          <w:footerReference r:id="rId8" w:type="default"/>
          <w:pgSz w:w="11906" w:h="16838"/>
          <w:pgMar w:top="1440" w:right="1800" w:bottom="1440" w:left="1800" w:header="851" w:footer="992" w:gutter="0"/>
          <w:pgNumType w:start="1"/>
          <w:cols w:space="425" w:num="1"/>
          <w:docGrid w:type="lines" w:linePitch="312" w:charSpace="0"/>
        </w:sectPr>
      </w:pPr>
    </w:p>
    <w:bookmarkEnd w:id="4"/>
    <w:p>
      <w:pPr>
        <w:pStyle w:val="3"/>
        <w:ind w:firstLine="2168" w:firstLineChars="600"/>
        <w:rPr>
          <w:sz w:val="36"/>
          <w:szCs w:val="36"/>
        </w:rPr>
      </w:pPr>
      <w:bookmarkStart w:id="8" w:name="_Toc454458052"/>
      <w:bookmarkStart w:id="9" w:name="_Toc31253"/>
      <w:r>
        <w:rPr>
          <w:rFonts w:hint="eastAsia"/>
          <w:sz w:val="36"/>
          <w:szCs w:val="36"/>
        </w:rPr>
        <w:t>第三章 询价须知</w:t>
      </w:r>
      <w:bookmarkEnd w:id="8"/>
      <w:bookmarkEnd w:id="9"/>
    </w:p>
    <w:p>
      <w:pPr>
        <w:pStyle w:val="3"/>
        <w:adjustRightInd w:val="0"/>
        <w:snapToGrid w:val="0"/>
        <w:spacing w:line="360" w:lineRule="auto"/>
        <w:jc w:val="center"/>
        <w:rPr>
          <w:sz w:val="30"/>
          <w:szCs w:val="30"/>
        </w:rPr>
      </w:pPr>
      <w:bookmarkStart w:id="10" w:name="_Toc23116"/>
      <w:bookmarkStart w:id="11" w:name="_Toc454458053"/>
      <w:bookmarkStart w:id="12" w:name="_Toc448133309"/>
      <w:bookmarkStart w:id="13" w:name="_Toc453493032"/>
      <w:r>
        <w:rPr>
          <w:rFonts w:hint="eastAsia" w:cs="宋体"/>
          <w:sz w:val="30"/>
          <w:szCs w:val="30"/>
        </w:rPr>
        <w:t>一、总则</w:t>
      </w:r>
      <w:bookmarkEnd w:id="10"/>
      <w:bookmarkEnd w:id="11"/>
      <w:bookmarkEnd w:id="12"/>
      <w:bookmarkEnd w:id="13"/>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1.定义</w:t>
      </w:r>
    </w:p>
    <w:p>
      <w:pPr>
        <w:adjustRightInd w:val="0"/>
        <w:snapToGrid w:val="0"/>
        <w:spacing w:line="360" w:lineRule="auto"/>
        <w:ind w:firstLine="420" w:firstLineChars="200"/>
        <w:rPr>
          <w:rFonts w:ascii="宋体" w:hAnsi="Times New Roman" w:cs="宋体"/>
        </w:rPr>
      </w:pPr>
      <w:r>
        <w:rPr>
          <w:rFonts w:hint="eastAsia" w:ascii="宋体" w:hAnsi="宋体" w:cs="宋体"/>
        </w:rPr>
        <w:t>1.1</w:t>
      </w:r>
      <w:bookmarkStart w:id="14" w:name="OLE_LINK1"/>
      <w:r>
        <w:rPr>
          <w:rFonts w:hint="eastAsia" w:ascii="宋体" w:hAnsi="宋体" w:cs="宋体"/>
          <w:lang w:val="en-US" w:eastAsia="zh-CN"/>
        </w:rPr>
        <w:t>服务：指供应商按照《采购需求书》所列服务清单与服务内容标准所提供的全部服务</w:t>
      </w:r>
      <w:r>
        <w:rPr>
          <w:rFonts w:hint="eastAsia" w:ascii="宋体" w:hAnsi="宋体" w:cs="宋体"/>
        </w:rPr>
        <w:t>。</w:t>
      </w:r>
      <w:bookmarkEnd w:id="14"/>
    </w:p>
    <w:p>
      <w:pPr>
        <w:adjustRightInd w:val="0"/>
        <w:snapToGrid w:val="0"/>
        <w:spacing w:line="360" w:lineRule="auto"/>
        <w:ind w:firstLine="420" w:firstLineChars="200"/>
        <w:rPr>
          <w:rFonts w:ascii="宋体" w:hAnsi="Times New Roman" w:cs="宋体"/>
        </w:rPr>
      </w:pPr>
      <w:r>
        <w:rPr>
          <w:rFonts w:hint="eastAsia" w:ascii="宋体" w:hAnsi="宋体" w:cs="宋体"/>
        </w:rPr>
        <w:t>1.2采购人：</w:t>
      </w:r>
      <w:r>
        <w:rPr>
          <w:rFonts w:hint="eastAsia" w:ascii="Times New Roman" w:hAnsi="Times New Roman" w:cs="宋体"/>
        </w:rPr>
        <w:t>广西南宁技师学院。</w:t>
      </w:r>
    </w:p>
    <w:p>
      <w:pPr>
        <w:adjustRightInd w:val="0"/>
        <w:snapToGrid w:val="0"/>
        <w:spacing w:line="360" w:lineRule="auto"/>
        <w:ind w:firstLine="420" w:firstLineChars="200"/>
        <w:rPr>
          <w:rFonts w:ascii="宋体" w:hAnsi="Times New Roman" w:cs="宋体"/>
        </w:rPr>
      </w:pPr>
      <w:r>
        <w:rPr>
          <w:rFonts w:hint="eastAsia" w:ascii="宋体" w:hAnsi="宋体" w:cs="宋体"/>
        </w:rPr>
        <w:t>1.3供应商：指</w:t>
      </w:r>
      <w:r>
        <w:rPr>
          <w:rFonts w:hint="eastAsia" w:ascii="宋体" w:hAnsi="宋体" w:cs="宋体"/>
          <w:lang w:eastAsia="zh-TW"/>
        </w:rPr>
        <w:t>响应</w:t>
      </w:r>
      <w:r>
        <w:rPr>
          <w:rFonts w:hint="eastAsia" w:ascii="宋体" w:hAnsi="宋体" w:cs="宋体"/>
        </w:rPr>
        <w:t>询价文件</w:t>
      </w:r>
      <w:r>
        <w:rPr>
          <w:rFonts w:hint="eastAsia" w:ascii="宋体" w:hAnsi="宋体" w:cs="宋体"/>
          <w:lang w:eastAsia="zh-TW"/>
        </w:rPr>
        <w:t>并且符合规定资格条件和参加竞争的法人、其他组织或者自然人。</w:t>
      </w:r>
    </w:p>
    <w:p>
      <w:pPr>
        <w:adjustRightInd w:val="0"/>
        <w:snapToGrid w:val="0"/>
        <w:spacing w:line="360" w:lineRule="auto"/>
        <w:ind w:firstLine="420" w:firstLineChars="200"/>
        <w:rPr>
          <w:rFonts w:ascii="宋体" w:hAnsi="Times New Roman" w:cs="宋体"/>
        </w:rPr>
      </w:pPr>
      <w:r>
        <w:rPr>
          <w:rFonts w:hint="eastAsia" w:ascii="宋体" w:hAnsi="宋体" w:cs="宋体"/>
        </w:rPr>
        <w:t>1.4</w:t>
      </w:r>
      <w:r>
        <w:rPr>
          <w:rFonts w:hint="eastAsia" w:ascii="Times New Roman" w:hAnsi="Times New Roman" w:cs="宋体"/>
        </w:rPr>
        <w:t>监管管理部门：</w:t>
      </w:r>
      <w:r>
        <w:rPr>
          <w:rFonts w:hint="eastAsia" w:ascii="宋体" w:hAnsi="宋体" w:cs="宋体"/>
        </w:rPr>
        <w:t>广西南宁技师学院党委办公室。</w:t>
      </w:r>
    </w:p>
    <w:p>
      <w:pPr>
        <w:adjustRightInd w:val="0"/>
        <w:snapToGrid w:val="0"/>
        <w:spacing w:line="360" w:lineRule="auto"/>
        <w:ind w:firstLine="420" w:firstLineChars="200"/>
        <w:rPr>
          <w:rFonts w:ascii="宋体" w:hAnsi="Times New Roman" w:cs="宋体"/>
        </w:rPr>
      </w:pPr>
      <w:r>
        <w:rPr>
          <w:rFonts w:hint="eastAsia" w:ascii="宋体" w:hAnsi="宋体" w:cs="宋体"/>
        </w:rPr>
        <w:t>1.</w:t>
      </w:r>
      <w:r>
        <w:rPr>
          <w:rFonts w:ascii="宋体" w:hAnsi="宋体" w:cs="宋体"/>
        </w:rPr>
        <w:t>5</w:t>
      </w:r>
      <w:r>
        <w:rPr>
          <w:rFonts w:hint="eastAsia" w:ascii="宋体" w:hAnsi="宋体" w:cs="宋体"/>
        </w:rPr>
        <w:t>询价小组：由项目部门代表及广西南宁技师学院采购项目相关专业教师中随机抽取的专家组成，专门负责本次询价评审工作的临时性机构（其成员称为评委）</w:t>
      </w:r>
      <w:r>
        <w:rPr>
          <w:rFonts w:hint="eastAsia" w:ascii="宋体" w:hAnsi="宋体" w:cs="宋体"/>
          <w:color w:val="000000"/>
        </w:rPr>
        <w:t>；</w:t>
      </w:r>
    </w:p>
    <w:p>
      <w:pPr>
        <w:adjustRightInd w:val="0"/>
        <w:snapToGrid w:val="0"/>
        <w:spacing w:line="360" w:lineRule="auto"/>
        <w:ind w:firstLine="420" w:firstLineChars="200"/>
        <w:rPr>
          <w:rFonts w:ascii="宋体" w:hAnsi="宋体" w:cs="宋体"/>
          <w:color w:val="000000"/>
        </w:rPr>
      </w:pPr>
      <w:r>
        <w:rPr>
          <w:rFonts w:hint="eastAsia" w:ascii="宋体" w:hAnsi="宋体" w:cs="宋体"/>
        </w:rPr>
        <w:t>1.</w:t>
      </w:r>
      <w:r>
        <w:rPr>
          <w:rFonts w:ascii="宋体" w:hAnsi="宋体" w:cs="宋体"/>
        </w:rPr>
        <w:t>6</w:t>
      </w:r>
      <w:r>
        <w:rPr>
          <w:rFonts w:hint="eastAsia" w:ascii="宋体" w:hAnsi="宋体" w:cs="宋体"/>
        </w:rPr>
        <w:t>实质性响应：</w:t>
      </w:r>
      <w:r>
        <w:rPr>
          <w:rFonts w:hint="eastAsia" w:ascii="宋体" w:hAnsi="宋体" w:cs="宋体"/>
          <w:color w:val="000000"/>
        </w:rPr>
        <w:t>是指符合</w:t>
      </w:r>
      <w:r>
        <w:rPr>
          <w:rFonts w:hint="eastAsia" w:ascii="宋体" w:hAnsi="宋体" w:cs="宋体"/>
        </w:rPr>
        <w:t>询价</w:t>
      </w:r>
      <w:r>
        <w:rPr>
          <w:rFonts w:hint="eastAsia" w:ascii="宋体" w:hAnsi="宋体" w:cs="宋体"/>
          <w:color w:val="000000"/>
        </w:rPr>
        <w:t>文件实质性条款的要求。</w:t>
      </w:r>
    </w:p>
    <w:p>
      <w:pPr>
        <w:adjustRightInd w:val="0"/>
        <w:snapToGrid w:val="0"/>
        <w:spacing w:line="360" w:lineRule="auto"/>
        <w:ind w:firstLine="420" w:firstLineChars="200"/>
        <w:rPr>
          <w:rFonts w:ascii="宋体" w:hAnsi="Times New Roman" w:cs="宋体"/>
          <w:color w:val="000000"/>
        </w:rPr>
      </w:pPr>
      <w:r>
        <w:rPr>
          <w:rFonts w:hint="eastAsia" w:ascii="宋体" w:hAnsi="宋体" w:cs="宋体"/>
        </w:rPr>
        <w:t>1.</w:t>
      </w:r>
      <w:r>
        <w:rPr>
          <w:rFonts w:ascii="宋体" w:hAnsi="宋体" w:cs="宋体"/>
        </w:rPr>
        <w:t>7</w:t>
      </w:r>
      <w:r>
        <w:rPr>
          <w:rFonts w:hint="eastAsia" w:ascii="宋体" w:hAnsi="宋体" w:cs="宋体"/>
          <w:color w:val="000000"/>
        </w:rPr>
        <w:t>重大偏离或保留：是指影响到询价文件规定的的</w:t>
      </w:r>
      <w:r>
        <w:rPr>
          <w:rFonts w:hint="eastAsia" w:ascii="宋体" w:hAnsi="宋体" w:cs="宋体"/>
          <w:color w:val="000000"/>
          <w:highlight w:val="none"/>
          <w:lang w:val="en-US" w:eastAsia="zh-CN"/>
        </w:rPr>
        <w:t>服务内容</w:t>
      </w:r>
      <w:r>
        <w:rPr>
          <w:rFonts w:hint="eastAsia" w:ascii="宋体" w:hAnsi="宋体" w:cs="宋体"/>
        </w:rPr>
        <w:t>和质量或限制了采购人的权利和响应供应商的义务的规定，而纠正这些偏离将影响到其它响应供应商的公平竞争地位。</w:t>
      </w:r>
    </w:p>
    <w:p>
      <w:pPr>
        <w:adjustRightInd w:val="0"/>
        <w:snapToGrid w:val="0"/>
        <w:spacing w:line="360" w:lineRule="auto"/>
        <w:ind w:firstLine="420" w:firstLineChars="200"/>
        <w:rPr>
          <w:rFonts w:cs="宋体"/>
          <w:color w:val="000000"/>
        </w:rPr>
      </w:pPr>
      <w:r>
        <w:rPr>
          <w:rFonts w:hint="eastAsia" w:ascii="宋体" w:hAnsi="宋体" w:cs="宋体"/>
          <w:color w:val="000000"/>
        </w:rPr>
        <w:t>1.</w:t>
      </w:r>
      <w:r>
        <w:rPr>
          <w:rFonts w:ascii="宋体" w:hAnsi="宋体" w:cs="宋体"/>
          <w:color w:val="000000"/>
        </w:rPr>
        <w:t>8</w:t>
      </w:r>
      <w:r>
        <w:rPr>
          <w:rFonts w:hint="eastAsia" w:ascii="Times New Roman" w:hAnsi="Times New Roman" w:cs="宋体"/>
          <w:color w:val="000000"/>
        </w:rPr>
        <w:t>日期、天数、时间：无特别说明时是指公历日及北京时间。</w:t>
      </w:r>
      <w:r>
        <w:rPr>
          <w:rFonts w:cs="宋体"/>
          <w:b/>
          <w:color w:val="000000"/>
        </w:rPr>
        <w:t xml:space="preserve"> </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2.适用范围</w:t>
      </w:r>
    </w:p>
    <w:p>
      <w:pPr>
        <w:autoSpaceDE w:val="0"/>
        <w:autoSpaceDN w:val="0"/>
        <w:adjustRightInd w:val="0"/>
        <w:snapToGrid w:val="0"/>
        <w:spacing w:line="360" w:lineRule="auto"/>
        <w:ind w:firstLine="420" w:firstLineChars="200"/>
        <w:rPr>
          <w:rFonts w:ascii="宋体" w:hAnsi="Times New Roman" w:cs="宋体"/>
          <w:color w:val="FF0000"/>
        </w:rPr>
      </w:pPr>
      <w:r>
        <w:rPr>
          <w:rFonts w:hint="eastAsia" w:ascii="宋体" w:hAnsi="宋体" w:cs="宋体"/>
        </w:rPr>
        <w:t>2.1本询价文件</w:t>
      </w:r>
      <w:r>
        <w:rPr>
          <w:rFonts w:hint="eastAsia" w:ascii="宋体" w:hAnsi="宋体" w:cs="宋体"/>
          <w:color w:val="000000"/>
        </w:rPr>
        <w:t>依据《中华人民共和国政府采购法》及其实施条例和相关的法规、规章编制。</w:t>
      </w:r>
    </w:p>
    <w:p>
      <w:pPr>
        <w:adjustRightInd w:val="0"/>
        <w:snapToGrid w:val="0"/>
        <w:spacing w:line="360" w:lineRule="auto"/>
        <w:ind w:firstLine="420" w:firstLineChars="200"/>
        <w:rPr>
          <w:rFonts w:ascii="宋体" w:hAnsi="Times New Roman" w:cs="宋体"/>
        </w:rPr>
      </w:pPr>
      <w:r>
        <w:rPr>
          <w:rFonts w:hint="eastAsia" w:ascii="宋体" w:hAnsi="宋体" w:cs="宋体"/>
        </w:rPr>
        <w:t>2.2采购人、供应商各方当事人适用本须知。</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3.参加询价活动费用：</w:t>
      </w:r>
    </w:p>
    <w:p>
      <w:pPr>
        <w:adjustRightInd w:val="0"/>
        <w:snapToGrid w:val="0"/>
        <w:spacing w:line="360" w:lineRule="auto"/>
        <w:ind w:firstLine="420" w:firstLineChars="200"/>
        <w:outlineLvl w:val="2"/>
        <w:rPr>
          <w:rFonts w:ascii="宋体" w:hAnsi="Times New Roman" w:cs="宋体"/>
        </w:rPr>
      </w:pPr>
      <w:r>
        <w:rPr>
          <w:rFonts w:hint="eastAsia" w:ascii="宋体" w:hAnsi="宋体" w:cs="宋体"/>
          <w:color w:val="000000"/>
        </w:rPr>
        <w:t>供应商编写和提交询价响应文件及参加本次询价活动有关的所有费用由供应商承担，不论询价结果如何，采购人均不承担上述费用。</w:t>
      </w:r>
    </w:p>
    <w:p>
      <w:pPr>
        <w:adjustRightInd w:val="0"/>
        <w:snapToGrid w:val="0"/>
        <w:spacing w:line="360" w:lineRule="auto"/>
        <w:ind w:firstLine="413" w:firstLineChars="196"/>
        <w:outlineLvl w:val="2"/>
        <w:rPr>
          <w:rFonts w:ascii="宋体" w:hAnsi="Times New Roman" w:cs="宋体"/>
        </w:rPr>
      </w:pPr>
      <w:r>
        <w:rPr>
          <w:rFonts w:hint="eastAsia" w:ascii="宋体" w:hAnsi="宋体" w:cs="宋体"/>
          <w:b/>
        </w:rPr>
        <w:t>4.其他</w:t>
      </w:r>
    </w:p>
    <w:p>
      <w:pPr>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lang w:eastAsia="zh-TW"/>
        </w:rPr>
        <w:t>所有时间均为24小时制北京时间，所有货币单位均为人民币元，所使用的计量单位均以《中华人民共和国法定计量单位》为准（特别注明除外）</w:t>
      </w:r>
      <w:r>
        <w:rPr>
          <w:rFonts w:hint="eastAsia" w:ascii="宋体" w:hAnsi="宋体" w:cs="宋体"/>
        </w:rPr>
        <w:t>。</w:t>
      </w:r>
    </w:p>
    <w:p>
      <w:pPr>
        <w:autoSpaceDE w:val="0"/>
        <w:autoSpaceDN w:val="0"/>
        <w:adjustRightInd w:val="0"/>
        <w:snapToGrid w:val="0"/>
        <w:spacing w:line="360" w:lineRule="auto"/>
        <w:ind w:firstLine="420" w:firstLineChars="200"/>
      </w:pPr>
    </w:p>
    <w:p>
      <w:pPr>
        <w:pStyle w:val="3"/>
        <w:adjustRightInd w:val="0"/>
        <w:snapToGrid w:val="0"/>
        <w:spacing w:line="360" w:lineRule="auto"/>
        <w:jc w:val="center"/>
        <w:rPr>
          <w:sz w:val="30"/>
          <w:szCs w:val="30"/>
        </w:rPr>
      </w:pPr>
      <w:bookmarkStart w:id="15" w:name="_Toc448133310"/>
      <w:bookmarkStart w:id="16" w:name="_Toc454458054"/>
      <w:bookmarkStart w:id="17" w:name="_Toc453493033"/>
      <w:bookmarkStart w:id="18" w:name="_Toc32133"/>
      <w:r>
        <w:rPr>
          <w:rFonts w:hint="eastAsia" w:cs="宋体"/>
          <w:sz w:val="30"/>
          <w:szCs w:val="30"/>
        </w:rPr>
        <w:t>二、询价</w:t>
      </w:r>
      <w:bookmarkEnd w:id="15"/>
      <w:bookmarkEnd w:id="16"/>
      <w:bookmarkEnd w:id="17"/>
      <w:r>
        <w:rPr>
          <w:rFonts w:hint="eastAsia" w:cs="宋体"/>
          <w:sz w:val="30"/>
          <w:szCs w:val="30"/>
        </w:rPr>
        <w:t>文件</w:t>
      </w:r>
      <w:bookmarkEnd w:id="18"/>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5.询价文件的组成</w:t>
      </w:r>
    </w:p>
    <w:p>
      <w:pPr>
        <w:adjustRightInd w:val="0"/>
        <w:snapToGrid w:val="0"/>
        <w:spacing w:line="360" w:lineRule="auto"/>
        <w:ind w:firstLine="420" w:firstLineChars="200"/>
        <w:rPr>
          <w:rFonts w:ascii="宋体" w:hAnsi="Times New Roman" w:cs="宋体"/>
          <w:b/>
        </w:rPr>
      </w:pPr>
      <w:r>
        <w:rPr>
          <w:rFonts w:hint="eastAsia" w:ascii="宋体" w:hAnsi="宋体" w:cs="宋体"/>
        </w:rPr>
        <w:t>5.1询价文件包括：</w:t>
      </w:r>
    </w:p>
    <w:p>
      <w:pPr>
        <w:adjustRightInd w:val="0"/>
        <w:snapToGrid w:val="0"/>
        <w:spacing w:line="360" w:lineRule="auto"/>
        <w:ind w:firstLine="420" w:firstLineChars="200"/>
        <w:rPr>
          <w:rFonts w:ascii="宋体" w:hAnsi="Times New Roman" w:cs="宋体"/>
        </w:rPr>
      </w:pPr>
      <w:r>
        <w:rPr>
          <w:rFonts w:hint="eastAsia" w:ascii="宋体" w:hAnsi="宋体" w:cs="宋体"/>
        </w:rPr>
        <w:t>5.1.1询价公告</w:t>
      </w:r>
    </w:p>
    <w:p>
      <w:pPr>
        <w:adjustRightInd w:val="0"/>
        <w:snapToGrid w:val="0"/>
        <w:spacing w:line="360" w:lineRule="auto"/>
        <w:ind w:firstLine="420" w:firstLineChars="200"/>
        <w:rPr>
          <w:rFonts w:ascii="宋体" w:hAnsi="Times New Roman" w:cs="宋体"/>
        </w:rPr>
      </w:pPr>
      <w:r>
        <w:rPr>
          <w:rFonts w:hint="eastAsia" w:ascii="宋体" w:hAnsi="宋体" w:cs="宋体"/>
        </w:rPr>
        <w:t>5.1.2采购需求书</w:t>
      </w:r>
    </w:p>
    <w:p>
      <w:pPr>
        <w:adjustRightInd w:val="0"/>
        <w:snapToGrid w:val="0"/>
        <w:spacing w:line="360" w:lineRule="auto"/>
        <w:ind w:firstLine="420" w:firstLineChars="200"/>
        <w:rPr>
          <w:rFonts w:ascii="宋体" w:hAnsi="Times New Roman" w:cs="宋体"/>
        </w:rPr>
      </w:pPr>
      <w:r>
        <w:rPr>
          <w:rFonts w:hint="eastAsia" w:ascii="宋体" w:hAnsi="宋体" w:cs="宋体"/>
        </w:rPr>
        <w:t>5.1.3询价须知</w:t>
      </w:r>
    </w:p>
    <w:p>
      <w:pPr>
        <w:adjustRightInd w:val="0"/>
        <w:snapToGrid w:val="0"/>
        <w:spacing w:line="360" w:lineRule="auto"/>
        <w:ind w:firstLine="420" w:firstLineChars="200"/>
        <w:rPr>
          <w:rFonts w:ascii="宋体" w:hAnsi="Times New Roman" w:cs="宋体"/>
        </w:rPr>
      </w:pPr>
      <w:r>
        <w:rPr>
          <w:rFonts w:hint="eastAsia" w:ascii="宋体" w:hAnsi="宋体" w:cs="宋体"/>
        </w:rPr>
        <w:t>5.1.</w:t>
      </w:r>
      <w:r>
        <w:rPr>
          <w:rFonts w:ascii="宋体" w:hAnsi="宋体" w:cs="宋体"/>
        </w:rPr>
        <w:t>4</w:t>
      </w:r>
      <w:r>
        <w:rPr>
          <w:rFonts w:hint="eastAsia" w:ascii="宋体" w:hAnsi="宋体" w:cs="宋体"/>
        </w:rPr>
        <w:t>合同条款</w:t>
      </w:r>
    </w:p>
    <w:p>
      <w:pPr>
        <w:adjustRightInd w:val="0"/>
        <w:snapToGrid w:val="0"/>
        <w:spacing w:line="360" w:lineRule="auto"/>
        <w:ind w:firstLine="420" w:firstLineChars="200"/>
        <w:rPr>
          <w:rFonts w:ascii="宋体" w:hAnsi="Times New Roman" w:cs="宋体"/>
        </w:rPr>
      </w:pPr>
      <w:r>
        <w:rPr>
          <w:rFonts w:hint="eastAsia" w:ascii="宋体" w:hAnsi="宋体" w:cs="宋体"/>
        </w:rPr>
        <w:t>5.1.</w:t>
      </w:r>
      <w:r>
        <w:rPr>
          <w:rFonts w:ascii="宋体" w:hAnsi="宋体" w:cs="宋体"/>
        </w:rPr>
        <w:t>5</w:t>
      </w:r>
      <w:r>
        <w:rPr>
          <w:rFonts w:hint="eastAsia" w:ascii="宋体" w:hAnsi="宋体" w:cs="宋体"/>
        </w:rPr>
        <w:t>响应文件格式</w:t>
      </w:r>
    </w:p>
    <w:p>
      <w:pPr>
        <w:adjustRightInd w:val="0"/>
        <w:snapToGrid w:val="0"/>
        <w:spacing w:line="360" w:lineRule="auto"/>
        <w:ind w:firstLine="420" w:firstLineChars="200"/>
        <w:rPr>
          <w:rFonts w:ascii="宋体" w:hAnsi="Times New Roman" w:cs="宋体"/>
        </w:rPr>
      </w:pPr>
      <w:r>
        <w:rPr>
          <w:rFonts w:hint="eastAsia" w:ascii="宋体" w:hAnsi="宋体" w:cs="宋体"/>
        </w:rPr>
        <w:t>5.2供应商应认真阅读询价文件中所有的事项、格式、条款和规范等要求。如果供应商没有按照询价文件要求提交全部资料，或者响应文件没有对询价文件做出实质性响应，由此造成的后果由供应商负责。</w:t>
      </w:r>
    </w:p>
    <w:p>
      <w:pPr>
        <w:adjustRightInd w:val="0"/>
        <w:snapToGrid w:val="0"/>
        <w:spacing w:line="360" w:lineRule="auto"/>
        <w:ind w:firstLine="420" w:firstLineChars="200"/>
        <w:rPr>
          <w:rFonts w:ascii="宋体" w:hAnsi="Times New Roman" w:cs="宋体"/>
        </w:rPr>
      </w:pPr>
      <w:r>
        <w:rPr>
          <w:rFonts w:hint="eastAsia" w:ascii="宋体" w:hAnsi="宋体" w:cs="宋体"/>
        </w:rPr>
        <w:t>5.3采购人保留对询价过程的保密，对成交结果不作任何解释的权利。</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6.询价文件的澄清或修改</w:t>
      </w:r>
    </w:p>
    <w:p>
      <w:pPr>
        <w:adjustRightInd w:val="0"/>
        <w:snapToGrid w:val="0"/>
        <w:spacing w:line="360" w:lineRule="auto"/>
        <w:ind w:firstLine="411" w:firstLineChars="196"/>
        <w:outlineLvl w:val="2"/>
        <w:rPr>
          <w:rFonts w:ascii="宋体" w:hAnsi="Times New Roman" w:cs="宋体"/>
          <w:b/>
        </w:rPr>
      </w:pPr>
      <w:r>
        <w:rPr>
          <w:rFonts w:hint="eastAsia" w:ascii="宋体" w:hAnsi="宋体" w:cs="宋体"/>
          <w:color w:val="000000"/>
        </w:rPr>
        <w:t>6.1任何要求对询价</w:t>
      </w:r>
      <w:bookmarkStart w:id="19" w:name="_Hlk42786655"/>
      <w:r>
        <w:rPr>
          <w:rFonts w:hint="eastAsia" w:ascii="宋体" w:hAnsi="宋体" w:cs="宋体"/>
          <w:color w:val="000000"/>
        </w:rPr>
        <w:t>文件</w:t>
      </w:r>
      <w:bookmarkEnd w:id="19"/>
      <w:r>
        <w:rPr>
          <w:rFonts w:hint="eastAsia" w:ascii="宋体" w:hAnsi="宋体" w:cs="宋体"/>
          <w:color w:val="000000"/>
        </w:rPr>
        <w:t>进行澄</w:t>
      </w:r>
      <w:r>
        <w:rPr>
          <w:rFonts w:hint="eastAsia" w:ascii="宋体" w:hAnsi="宋体" w:cs="宋体"/>
        </w:rPr>
        <w:t>清的供应商，均应以书面形式通知采购人。采购人收到对询价</w:t>
      </w:r>
      <w:r>
        <w:rPr>
          <w:rFonts w:hint="eastAsia" w:ascii="宋体" w:hAnsi="宋体" w:cs="宋体"/>
          <w:color w:val="000000"/>
        </w:rPr>
        <w:t>文件</w:t>
      </w:r>
      <w:r>
        <w:rPr>
          <w:rFonts w:hint="eastAsia" w:ascii="宋体" w:hAnsi="宋体" w:cs="宋体"/>
        </w:rPr>
        <w:t>的澄清要求将以书面形式答复，同时将书面答复以公告形式告知每位供应商（答复不包括问题的来源）；</w:t>
      </w:r>
    </w:p>
    <w:p>
      <w:pPr>
        <w:snapToGrid w:val="0"/>
        <w:spacing w:line="360" w:lineRule="auto"/>
        <w:rPr>
          <w:rFonts w:ascii="宋体" w:hAnsi="Times New Roman" w:cs="宋体"/>
          <w:color w:val="000000"/>
        </w:rPr>
      </w:pPr>
      <w:r>
        <w:rPr>
          <w:rFonts w:hint="eastAsia" w:ascii="宋体" w:hAnsi="宋体" w:cs="宋体"/>
          <w:color w:val="000000"/>
        </w:rPr>
        <w:t xml:space="preserve">    6.2在询价开始前或在解答供应商提出的需澄清问题时，采购人可主动对询价文件进行修改；</w:t>
      </w:r>
    </w:p>
    <w:p>
      <w:pPr>
        <w:snapToGrid w:val="0"/>
        <w:spacing w:line="360" w:lineRule="auto"/>
        <w:ind w:firstLine="420" w:firstLineChars="200"/>
        <w:rPr>
          <w:rFonts w:ascii="宋体" w:hAnsi="Times New Roman" w:cs="宋体"/>
          <w:color w:val="000000"/>
        </w:rPr>
      </w:pPr>
      <w:r>
        <w:rPr>
          <w:rFonts w:hint="eastAsia" w:ascii="宋体" w:hAnsi="宋体" w:cs="宋体"/>
          <w:color w:val="000000"/>
        </w:rPr>
        <w:t>6.3询价文件的澄清和修改均以公告形式通知所有供应商。该澄清和修改文件是询价文件的组成部分，对供应商具有约束力；</w:t>
      </w:r>
    </w:p>
    <w:p>
      <w:pPr>
        <w:snapToGrid w:val="0"/>
        <w:spacing w:line="360" w:lineRule="auto"/>
        <w:rPr>
          <w:rFonts w:ascii="宋体" w:hAnsi="Times New Roman" w:cs="宋体"/>
          <w:color w:val="000000"/>
        </w:rPr>
      </w:pPr>
      <w:r>
        <w:rPr>
          <w:rFonts w:hint="eastAsia" w:ascii="宋体" w:hAnsi="宋体" w:cs="宋体"/>
          <w:color w:val="000000"/>
        </w:rPr>
        <w:t xml:space="preserve">    6.</w:t>
      </w:r>
      <w:r>
        <w:rPr>
          <w:rFonts w:ascii="宋体" w:hAnsi="宋体" w:cs="宋体"/>
          <w:color w:val="000000"/>
        </w:rPr>
        <w:t>4</w:t>
      </w:r>
      <w:r>
        <w:rPr>
          <w:rFonts w:hint="eastAsia" w:ascii="宋体" w:hAnsi="宋体" w:cs="宋体"/>
          <w:color w:val="000000"/>
        </w:rPr>
        <w:t>采购人可视情况延长询价开始时间和询价评审时间，并将此变更通知所有询价供应商。在推迟询价开始时间情况下，采购人和供应商受询价开始时间制约的所有权利和义务均延长至新的截止时间；</w:t>
      </w:r>
    </w:p>
    <w:p>
      <w:pPr>
        <w:snapToGrid w:val="0"/>
        <w:spacing w:line="360" w:lineRule="auto"/>
        <w:rPr>
          <w:rFonts w:ascii="宋体" w:hAnsi="Times New Roman" w:cs="宋体"/>
          <w:color w:val="000000"/>
        </w:rPr>
      </w:pPr>
      <w:r>
        <w:rPr>
          <w:rFonts w:hint="eastAsia" w:ascii="宋体" w:hAnsi="宋体" w:cs="宋体"/>
          <w:color w:val="000000"/>
        </w:rPr>
        <w:t xml:space="preserve">    6.</w:t>
      </w:r>
      <w:r>
        <w:rPr>
          <w:rFonts w:ascii="宋体" w:hAnsi="宋体" w:cs="宋体"/>
          <w:color w:val="000000"/>
        </w:rPr>
        <w:t>5</w:t>
      </w:r>
      <w:r>
        <w:rPr>
          <w:rFonts w:hint="eastAsia" w:ascii="宋体" w:hAnsi="宋体" w:cs="宋体"/>
          <w:color w:val="000000"/>
        </w:rPr>
        <w:t>询价过程中，询价文件内容如有实质性变更，询价小组应以书面形式通知所有参与询价的供应商。若供应商对此类实质性变更不予接受，可以要求退出询价，否则将被视为接受此变更并受其约束。</w:t>
      </w:r>
    </w:p>
    <w:p>
      <w:pPr>
        <w:snapToGrid w:val="0"/>
        <w:spacing w:line="360" w:lineRule="auto"/>
        <w:ind w:firstLine="413" w:firstLineChars="196"/>
        <w:rPr>
          <w:rFonts w:ascii="宋体" w:hAnsi="Times New Roman" w:cs="宋体"/>
          <w:b/>
          <w:color w:val="000000"/>
        </w:rPr>
      </w:pPr>
      <w:r>
        <w:rPr>
          <w:rFonts w:hint="eastAsia" w:ascii="宋体" w:hAnsi="宋体" w:cs="宋体"/>
          <w:b/>
          <w:color w:val="000000"/>
        </w:rPr>
        <w:t>7.询价文件的解释权</w:t>
      </w:r>
    </w:p>
    <w:p>
      <w:pPr>
        <w:snapToGrid w:val="0"/>
        <w:spacing w:line="360" w:lineRule="auto"/>
        <w:ind w:firstLine="420" w:firstLineChars="200"/>
      </w:pPr>
      <w:r>
        <w:rPr>
          <w:rFonts w:hint="eastAsia" w:ascii="宋体" w:hAnsi="宋体" w:cs="宋体"/>
          <w:color w:val="000000"/>
        </w:rPr>
        <w:t>本询价文件的</w:t>
      </w:r>
      <w:r>
        <w:rPr>
          <w:rFonts w:hint="eastAsia" w:ascii="Times New Roman" w:hAnsi="Times New Roman" w:cs="宋体"/>
        </w:rPr>
        <w:t>解释权归“广西南宁技师学院”所有。</w:t>
      </w:r>
    </w:p>
    <w:p>
      <w:pPr>
        <w:pStyle w:val="3"/>
        <w:adjustRightInd w:val="0"/>
        <w:snapToGrid w:val="0"/>
        <w:spacing w:line="360" w:lineRule="auto"/>
        <w:jc w:val="center"/>
        <w:rPr>
          <w:sz w:val="30"/>
          <w:szCs w:val="30"/>
        </w:rPr>
      </w:pPr>
      <w:bookmarkStart w:id="20" w:name="_Toc453493034"/>
      <w:bookmarkStart w:id="21" w:name="_Toc454458055"/>
      <w:bookmarkStart w:id="22" w:name="_Toc448133311"/>
      <w:bookmarkStart w:id="23" w:name="_Toc5744"/>
      <w:r>
        <w:rPr>
          <w:rFonts w:hint="eastAsia" w:cs="宋体"/>
          <w:sz w:val="30"/>
          <w:szCs w:val="30"/>
        </w:rPr>
        <w:t>三、响应文件的编制</w:t>
      </w:r>
      <w:bookmarkEnd w:id="20"/>
      <w:bookmarkEnd w:id="21"/>
      <w:bookmarkEnd w:id="22"/>
      <w:bookmarkEnd w:id="23"/>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8.</w:t>
      </w:r>
      <w:r>
        <w:rPr>
          <w:rFonts w:hint="eastAsia" w:ascii="宋体" w:hAnsi="宋体" w:cs="宋体"/>
          <w:b/>
          <w:highlight w:val="none"/>
        </w:rPr>
        <w:t>响应文件的语言及计量</w:t>
      </w:r>
    </w:p>
    <w:p>
      <w:pPr>
        <w:adjustRightInd w:val="0"/>
        <w:snapToGrid w:val="0"/>
        <w:spacing w:line="360" w:lineRule="auto"/>
        <w:ind w:firstLine="420" w:firstLineChars="200"/>
        <w:outlineLvl w:val="2"/>
        <w:rPr>
          <w:rFonts w:ascii="宋体" w:hAnsi="Times New Roman" w:cs="宋体"/>
          <w:b/>
        </w:rPr>
      </w:pPr>
      <w:r>
        <w:rPr>
          <w:rFonts w:hint="eastAsia" w:ascii="宋体" w:hAnsi="宋体" w:cs="宋体"/>
          <w:color w:val="000000"/>
        </w:rPr>
        <w:t>8.1</w:t>
      </w:r>
      <w:r>
        <w:rPr>
          <w:rFonts w:hint="eastAsia" w:ascii="宋体" w:hAnsi="宋体" w:cs="宋体"/>
          <w:lang w:eastAsia="zh-TW"/>
        </w:rPr>
        <w:t>响应文件以及供应商与采购人就有关</w:t>
      </w:r>
      <w:r>
        <w:rPr>
          <w:rFonts w:hint="eastAsia" w:ascii="宋体" w:hAnsi="宋体" w:cs="宋体"/>
        </w:rPr>
        <w:t>询价</w:t>
      </w:r>
      <w:r>
        <w:rPr>
          <w:rFonts w:hint="eastAsia" w:ascii="宋体" w:hAnsi="宋体" w:cs="宋体"/>
          <w:lang w:eastAsia="zh-TW"/>
        </w:rPr>
        <w:t>的所有往来函电均应以中文书写；</w:t>
      </w:r>
    </w:p>
    <w:p>
      <w:pPr>
        <w:adjustRightInd w:val="0"/>
        <w:snapToGrid w:val="0"/>
        <w:spacing w:line="360" w:lineRule="auto"/>
        <w:ind w:firstLine="420" w:firstLineChars="200"/>
        <w:rPr>
          <w:rFonts w:ascii="宋体" w:hAnsi="Times New Roman" w:cs="宋体"/>
          <w:lang w:eastAsia="zh-TW"/>
        </w:rPr>
      </w:pPr>
      <w:r>
        <w:rPr>
          <w:rFonts w:hint="eastAsia" w:ascii="宋体" w:hAnsi="宋体" w:cs="宋体"/>
        </w:rPr>
        <w:t>8.2</w:t>
      </w:r>
      <w:r>
        <w:rPr>
          <w:rFonts w:hint="eastAsia" w:ascii="宋体" w:hAnsi="宋体" w:cs="宋体"/>
          <w:lang w:eastAsia="zh-TW"/>
        </w:rPr>
        <w:t>除</w:t>
      </w:r>
      <w:r>
        <w:rPr>
          <w:rFonts w:hint="eastAsia" w:ascii="宋体" w:hAnsi="宋体" w:cs="宋体"/>
        </w:rPr>
        <w:t>询价文件</w:t>
      </w:r>
      <w:r>
        <w:rPr>
          <w:rFonts w:hint="eastAsia" w:ascii="宋体" w:hAnsi="宋体" w:cs="宋体"/>
          <w:lang w:eastAsia="zh-TW"/>
        </w:rPr>
        <w:t>另有规定外，供应商在响应文件中及其与采购人的所有往来文件中计量单位应使用中华人民共和国法定计量单位。</w:t>
      </w:r>
    </w:p>
    <w:p>
      <w:pPr>
        <w:spacing w:line="360" w:lineRule="auto"/>
        <w:ind w:firstLine="422" w:firstLineChars="200"/>
        <w:rPr>
          <w:rFonts w:ascii="宋体" w:hAnsi="宋体" w:cs="宋体"/>
        </w:rPr>
      </w:pPr>
      <w:bookmarkStart w:id="24" w:name="_Toc378586968"/>
      <w:r>
        <w:rPr>
          <w:rFonts w:hint="eastAsia" w:ascii="宋体" w:hAnsi="宋体" w:cs="宋体"/>
          <w:b/>
        </w:rPr>
        <w:t>9.响应文件的构成</w:t>
      </w:r>
      <w:bookmarkEnd w:id="24"/>
    </w:p>
    <w:p>
      <w:pPr>
        <w:spacing w:line="360" w:lineRule="auto"/>
        <w:ind w:firstLine="420" w:firstLineChars="200"/>
        <w:rPr>
          <w:rFonts w:ascii="宋体" w:hAnsi="宋体" w:cs="宋体"/>
        </w:rPr>
      </w:pPr>
      <w:r>
        <w:rPr>
          <w:rFonts w:hint="eastAsia" w:ascii="宋体" w:hAnsi="宋体" w:cs="宋体"/>
        </w:rPr>
        <w:t>9.1响应文件应包括资格、符合性资料和其他资料：供应商编制并提交的响应文件应包括但不少于下列内容:</w:t>
      </w:r>
    </w:p>
    <w:p>
      <w:pPr>
        <w:spacing w:line="360" w:lineRule="auto"/>
        <w:ind w:firstLine="420" w:firstLineChars="200"/>
        <w:rPr>
          <w:rFonts w:ascii="宋体" w:hAnsi="宋体" w:cs="宋体"/>
        </w:rPr>
      </w:pPr>
      <w:r>
        <w:rPr>
          <w:rFonts w:hint="eastAsia" w:ascii="宋体" w:hAnsi="宋体" w:cs="宋体"/>
        </w:rPr>
        <w:t>（1）询价响应函；</w:t>
      </w:r>
    </w:p>
    <w:p>
      <w:pPr>
        <w:spacing w:line="360" w:lineRule="auto"/>
        <w:ind w:firstLine="420" w:firstLineChars="200"/>
        <w:rPr>
          <w:rFonts w:ascii="宋体" w:hAnsi="宋体" w:cs="宋体"/>
        </w:rPr>
      </w:pPr>
      <w:r>
        <w:rPr>
          <w:rFonts w:hint="eastAsia" w:ascii="宋体" w:hAnsi="宋体" w:cs="宋体"/>
        </w:rPr>
        <w:t xml:space="preserve">（2）供应商资格声明函； </w:t>
      </w:r>
    </w:p>
    <w:p>
      <w:pPr>
        <w:spacing w:line="360" w:lineRule="auto"/>
        <w:ind w:firstLine="420" w:firstLineChars="200"/>
        <w:rPr>
          <w:rFonts w:ascii="宋体" w:hAnsi="宋体" w:cs="宋体"/>
        </w:rPr>
      </w:pPr>
      <w:r>
        <w:rPr>
          <w:rFonts w:hint="eastAsia" w:ascii="宋体" w:hAnsi="宋体" w:cs="宋体"/>
        </w:rPr>
        <w:t>（3）无围标、串标行为承诺书；</w:t>
      </w:r>
    </w:p>
    <w:p>
      <w:pPr>
        <w:spacing w:line="360" w:lineRule="auto"/>
        <w:ind w:firstLine="420" w:firstLineChars="200"/>
        <w:rPr>
          <w:rFonts w:ascii="宋体" w:hAnsi="宋体" w:cs="宋体"/>
        </w:rPr>
      </w:pPr>
      <w:r>
        <w:rPr>
          <w:rFonts w:hint="eastAsia" w:ascii="宋体" w:hAnsi="宋体" w:cs="宋体"/>
        </w:rPr>
        <w:t>（4）法定代表人身份证明、法定代表人授权委托书；</w:t>
      </w:r>
    </w:p>
    <w:p>
      <w:pPr>
        <w:spacing w:line="360" w:lineRule="auto"/>
        <w:ind w:firstLine="420" w:firstLineChars="200"/>
        <w:rPr>
          <w:rFonts w:ascii="宋体" w:hAnsi="宋体" w:cs="宋体"/>
        </w:rPr>
      </w:pPr>
      <w:r>
        <w:rPr>
          <w:rFonts w:hint="eastAsia" w:ascii="宋体" w:hAnsi="宋体" w:cs="宋体"/>
        </w:rPr>
        <w:t>（5）“▲”条款响应一览表</w:t>
      </w:r>
    </w:p>
    <w:p>
      <w:pPr>
        <w:spacing w:line="360" w:lineRule="auto"/>
        <w:ind w:firstLine="420" w:firstLineChars="200"/>
        <w:rPr>
          <w:rFonts w:ascii="宋体" w:hAnsi="宋体" w:cs="宋体"/>
        </w:rPr>
      </w:pPr>
      <w:r>
        <w:rPr>
          <w:rFonts w:hint="eastAsia" w:ascii="宋体" w:hAnsi="宋体" w:cs="宋体"/>
        </w:rPr>
        <w:t>（6）报价表（含报价一览表、报价明细报价表）</w:t>
      </w:r>
    </w:p>
    <w:p>
      <w:pPr>
        <w:spacing w:line="360" w:lineRule="auto"/>
        <w:ind w:firstLine="420" w:firstLineChars="200"/>
        <w:rPr>
          <w:rFonts w:ascii="宋体" w:hAnsi="宋体" w:cs="宋体"/>
        </w:rPr>
      </w:pPr>
      <w:r>
        <w:rPr>
          <w:rFonts w:hint="eastAsia" w:ascii="宋体" w:hAnsi="宋体" w:cs="宋体"/>
        </w:rPr>
        <w:t>（7）供应商相关资料：</w:t>
      </w:r>
    </w:p>
    <w:p>
      <w:pPr>
        <w:spacing w:line="360" w:lineRule="auto"/>
        <w:ind w:firstLine="420" w:firstLineChars="200"/>
        <w:rPr>
          <w:rFonts w:ascii="宋体" w:hAnsi="宋体" w:cs="宋体"/>
          <w:highlight w:val="yellow"/>
        </w:rPr>
      </w:pPr>
      <w:r>
        <w:rPr>
          <w:rFonts w:hint="eastAsia" w:ascii="宋体" w:hAnsi="宋体" w:cs="宋体"/>
        </w:rPr>
        <w:t>1）营业执照副本、税务登记证明、组织机构代码证（注:三证合一提供营业执照）；</w:t>
      </w:r>
    </w:p>
    <w:p>
      <w:pPr>
        <w:spacing w:line="360" w:lineRule="auto"/>
        <w:ind w:firstLine="420" w:firstLineChars="200"/>
        <w:rPr>
          <w:rFonts w:ascii="宋体" w:hAnsi="宋体" w:cs="宋体"/>
        </w:rPr>
      </w:pPr>
      <w:r>
        <w:rPr>
          <w:rFonts w:hint="eastAsia" w:ascii="宋体" w:hAnsi="宋体" w:cs="宋体"/>
          <w:lang w:val="en-US" w:eastAsia="zh-CN"/>
        </w:rPr>
        <w:t>2</w:t>
      </w:r>
      <w:r>
        <w:rPr>
          <w:rFonts w:hint="eastAsia" w:ascii="宋体" w:hAnsi="宋体" w:cs="宋体"/>
        </w:rPr>
        <w:t>）提供</w:t>
      </w:r>
      <w:r>
        <w:rPr>
          <w:rFonts w:hint="eastAsia" w:ascii="宋体" w:hAnsi="宋体" w:cs="宋体"/>
          <w:lang w:val="en-US" w:eastAsia="zh-CN"/>
        </w:rPr>
        <w:t>本项目递交响应文件</w:t>
      </w:r>
      <w:r>
        <w:rPr>
          <w:rFonts w:hint="eastAsia" w:ascii="宋体" w:hAnsi="宋体" w:cs="宋体"/>
        </w:rPr>
        <w:t>截止日前在“信用中国”网站（www.creditchina.gov.cn）查询结果截图复印件加盖公章；</w:t>
      </w:r>
    </w:p>
    <w:p>
      <w:pPr>
        <w:spacing w:line="360" w:lineRule="auto"/>
        <w:ind w:firstLine="420" w:firstLineChars="200"/>
        <w:rPr>
          <w:rFonts w:ascii="宋体" w:hAnsi="宋体" w:cs="宋体"/>
        </w:rPr>
      </w:pPr>
      <w:r>
        <w:rPr>
          <w:rFonts w:hint="eastAsia" w:ascii="宋体" w:hAnsi="宋体" w:cs="宋体"/>
          <w:lang w:val="en-US" w:eastAsia="zh-CN"/>
        </w:rPr>
        <w:t>3</w:t>
      </w:r>
      <w:r>
        <w:rPr>
          <w:rFonts w:hint="eastAsia" w:ascii="宋体" w:hAnsi="宋体" w:cs="宋体"/>
        </w:rPr>
        <w:t>）提供</w:t>
      </w:r>
      <w:r>
        <w:rPr>
          <w:rFonts w:hint="eastAsia" w:ascii="宋体" w:hAnsi="宋体" w:cs="宋体"/>
          <w:lang w:val="en-US" w:eastAsia="zh-CN"/>
        </w:rPr>
        <w:t>本项目递交响应文件</w:t>
      </w:r>
      <w:r>
        <w:rPr>
          <w:rFonts w:hint="eastAsia" w:ascii="宋体" w:hAnsi="宋体" w:cs="宋体"/>
        </w:rPr>
        <w:t>截止日前在中国政府采购网(www.ccgp.gov.cn) 查询结果截图复印件加盖公章；</w:t>
      </w:r>
    </w:p>
    <w:p>
      <w:pPr>
        <w:spacing w:line="360" w:lineRule="auto"/>
        <w:ind w:firstLine="420" w:firstLineChars="200"/>
        <w:rPr>
          <w:rFonts w:ascii="宋体" w:hAnsi="宋体" w:cs="宋体"/>
        </w:rPr>
      </w:pPr>
      <w:r>
        <w:rPr>
          <w:rFonts w:hint="eastAsia" w:ascii="宋体" w:hAnsi="宋体" w:cs="宋体"/>
          <w:lang w:val="en-US" w:eastAsia="zh-CN"/>
        </w:rPr>
        <w:t>4</w:t>
      </w:r>
      <w:r>
        <w:rPr>
          <w:rFonts w:hint="eastAsia" w:ascii="宋体" w:hAnsi="宋体" w:cs="宋体"/>
        </w:rPr>
        <w:t>）本项目的特定资格要求（详见第一章“询价公告”）</w:t>
      </w:r>
    </w:p>
    <w:p>
      <w:pPr>
        <w:spacing w:line="360" w:lineRule="auto"/>
        <w:ind w:firstLine="420" w:firstLineChars="200"/>
        <w:rPr>
          <w:rFonts w:ascii="宋体" w:hAnsi="宋体" w:cs="宋体"/>
          <w:highlight w:val="none"/>
        </w:rPr>
      </w:pPr>
      <w:r>
        <w:rPr>
          <w:rFonts w:hint="eastAsia" w:ascii="宋体" w:hAnsi="宋体" w:cs="宋体"/>
          <w:lang w:val="en-US" w:eastAsia="zh-CN"/>
        </w:rPr>
        <w:t>5</w:t>
      </w:r>
      <w:r>
        <w:rPr>
          <w:rFonts w:hint="eastAsia" w:ascii="宋体" w:hAnsi="宋体" w:cs="宋体"/>
        </w:rPr>
        <w:t>）</w:t>
      </w:r>
      <w:r>
        <w:rPr>
          <w:rFonts w:hint="eastAsia" w:ascii="宋体" w:hAnsi="宋体" w:cs="宋体"/>
          <w:highlight w:val="none"/>
        </w:rPr>
        <w:t>本项目的特定条件</w:t>
      </w:r>
    </w:p>
    <w:p>
      <w:pPr>
        <w:spacing w:line="360" w:lineRule="auto"/>
        <w:ind w:firstLine="420" w:firstLineChars="200"/>
        <w:rPr>
          <w:rFonts w:ascii="宋体" w:hAnsi="宋体" w:cs="宋体"/>
          <w:highlight w:val="none"/>
        </w:rPr>
      </w:pPr>
      <w:r>
        <w:rPr>
          <w:rFonts w:hint="eastAsia" w:ascii="宋体" w:hAnsi="宋体" w:cs="宋体"/>
          <w:highlight w:val="none"/>
        </w:rPr>
        <w:t>（8）供应商认为需要提供的其他材料。</w:t>
      </w:r>
    </w:p>
    <w:p>
      <w:pPr>
        <w:tabs>
          <w:tab w:val="left" w:pos="900"/>
        </w:tabs>
        <w:adjustRightInd w:val="0"/>
        <w:snapToGrid w:val="0"/>
        <w:spacing w:line="360" w:lineRule="auto"/>
        <w:ind w:firstLine="420" w:firstLineChars="200"/>
        <w:rPr>
          <w:rFonts w:ascii="宋体" w:hAnsi="Times New Roman" w:cs="宋体"/>
          <w:b/>
          <w:highlight w:val="yellow"/>
        </w:rPr>
      </w:pPr>
      <w:r>
        <w:rPr>
          <w:rFonts w:hint="eastAsia" w:ascii="宋体" w:hAnsi="宋体" w:cs="宋体"/>
          <w:highlight w:val="none"/>
        </w:rPr>
        <w:t>编排格式参见第五章响应文件格式。</w:t>
      </w:r>
    </w:p>
    <w:p>
      <w:pPr>
        <w:tabs>
          <w:tab w:val="left" w:pos="900"/>
        </w:tabs>
        <w:adjustRightInd w:val="0"/>
        <w:snapToGrid w:val="0"/>
        <w:spacing w:line="360" w:lineRule="auto"/>
        <w:ind w:firstLine="420" w:firstLineChars="200"/>
        <w:rPr>
          <w:rFonts w:ascii="宋体" w:hAnsi="Times New Roman" w:cs="宋体"/>
        </w:rPr>
      </w:pPr>
      <w:r>
        <w:rPr>
          <w:rFonts w:hint="eastAsia" w:ascii="宋体" w:hAnsi="Times New Roman" w:cs="宋体"/>
        </w:rPr>
        <w:t>9.2响应文件的构成应符合法律法规及询价</w:t>
      </w:r>
      <w:r>
        <w:rPr>
          <w:rFonts w:hint="eastAsia" w:ascii="宋体" w:hAnsi="宋体" w:cs="宋体"/>
          <w:color w:val="000000"/>
        </w:rPr>
        <w:t>文件</w:t>
      </w:r>
      <w:r>
        <w:rPr>
          <w:rFonts w:hint="eastAsia" w:ascii="宋体" w:hAnsi="Times New Roman" w:cs="宋体"/>
        </w:rPr>
        <w:t>的要求。</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10.响应文件的编写</w:t>
      </w:r>
    </w:p>
    <w:p>
      <w:pPr>
        <w:adjustRightInd w:val="0"/>
        <w:snapToGrid w:val="0"/>
        <w:spacing w:line="360" w:lineRule="auto"/>
        <w:ind w:firstLine="420" w:firstLineChars="200"/>
        <w:rPr>
          <w:rFonts w:ascii="宋体" w:hAnsi="Times New Roman" w:cs="宋体"/>
          <w:b/>
        </w:rPr>
      </w:pPr>
      <w:r>
        <w:rPr>
          <w:rFonts w:hint="eastAsia" w:ascii="宋体" w:hAnsi="宋体" w:cs="宋体"/>
        </w:rPr>
        <w:t>10.1供应商</w:t>
      </w:r>
      <w:r>
        <w:rPr>
          <w:rFonts w:hint="eastAsia" w:ascii="宋体" w:hAnsi="宋体" w:cs="宋体"/>
          <w:lang w:eastAsia="zh-TW"/>
        </w:rPr>
        <w:t>应完整</w:t>
      </w:r>
      <w:r>
        <w:rPr>
          <w:rFonts w:hint="eastAsia" w:ascii="宋体" w:hAnsi="宋体" w:cs="宋体"/>
        </w:rPr>
        <w:t>、真实、准确</w:t>
      </w:r>
      <w:r>
        <w:rPr>
          <w:rFonts w:hint="eastAsia" w:ascii="宋体" w:hAnsi="宋体" w:cs="宋体"/>
          <w:lang w:eastAsia="zh-TW"/>
        </w:rPr>
        <w:t>地填写</w:t>
      </w:r>
      <w:r>
        <w:rPr>
          <w:rFonts w:hint="eastAsia" w:ascii="宋体" w:hAnsi="宋体" w:cs="宋体"/>
        </w:rPr>
        <w:t>询价</w:t>
      </w:r>
      <w:r>
        <w:rPr>
          <w:rFonts w:hint="eastAsia" w:ascii="宋体" w:hAnsi="宋体" w:cs="宋体"/>
          <w:color w:val="000000"/>
        </w:rPr>
        <w:t>文件</w:t>
      </w:r>
      <w:r>
        <w:rPr>
          <w:rFonts w:hint="eastAsia" w:ascii="宋体" w:hAnsi="宋体" w:cs="宋体"/>
          <w:lang w:eastAsia="zh-TW"/>
        </w:rPr>
        <w:t>中提供的</w:t>
      </w:r>
      <w:r>
        <w:rPr>
          <w:rFonts w:hint="eastAsia" w:ascii="宋体" w:hAnsi="宋体" w:cs="宋体"/>
        </w:rPr>
        <w:t>询价响应</w:t>
      </w:r>
      <w:r>
        <w:rPr>
          <w:rFonts w:hint="eastAsia" w:ascii="宋体" w:hAnsi="宋体" w:cs="宋体"/>
          <w:lang w:eastAsia="zh-TW"/>
        </w:rPr>
        <w:t>函、报价表以及</w:t>
      </w:r>
      <w:r>
        <w:rPr>
          <w:rFonts w:hint="eastAsia" w:ascii="宋体" w:hAnsi="宋体" w:cs="宋体"/>
        </w:rPr>
        <w:t>询价</w:t>
      </w:r>
      <w:r>
        <w:rPr>
          <w:rFonts w:hint="eastAsia" w:ascii="宋体" w:hAnsi="宋体" w:cs="宋体"/>
          <w:color w:val="000000"/>
        </w:rPr>
        <w:t>文件</w:t>
      </w:r>
      <w:r>
        <w:rPr>
          <w:rFonts w:hint="eastAsia" w:ascii="宋体" w:hAnsi="宋体" w:cs="宋体"/>
          <w:lang w:eastAsia="zh-TW"/>
        </w:rPr>
        <w:t>中规定的其它内容。</w:t>
      </w:r>
    </w:p>
    <w:p>
      <w:pPr>
        <w:adjustRightInd w:val="0"/>
        <w:snapToGrid w:val="0"/>
        <w:spacing w:line="360" w:lineRule="auto"/>
        <w:ind w:firstLine="420" w:firstLineChars="200"/>
        <w:outlineLvl w:val="2"/>
        <w:rPr>
          <w:rFonts w:ascii="宋体" w:hAnsi="Times New Roman" w:cs="宋体"/>
          <w:lang w:eastAsia="zh-TW"/>
        </w:rPr>
      </w:pPr>
      <w:r>
        <w:rPr>
          <w:rFonts w:hint="eastAsia" w:ascii="宋体" w:hAnsi="宋体" w:cs="宋体"/>
        </w:rPr>
        <w:t>10.2</w:t>
      </w:r>
      <w:r>
        <w:rPr>
          <w:rFonts w:hint="eastAsia" w:ascii="宋体" w:hAnsi="宋体" w:cs="宋体"/>
          <w:lang w:eastAsia="zh-TW"/>
        </w:rPr>
        <w:t>供应商应当对响应文件进行装订，对未经装订的响应文件可能发生的文件散落或缺损，由此造成的后果和责任由供应商承担。</w:t>
      </w:r>
    </w:p>
    <w:p>
      <w:pPr>
        <w:spacing w:line="360" w:lineRule="auto"/>
        <w:ind w:firstLine="420" w:firstLineChars="200"/>
        <w:rPr>
          <w:rFonts w:ascii="宋体" w:hAnsi="Times New Roman" w:cs="宋体"/>
          <w:b/>
          <w:color w:val="000000"/>
          <w:sz w:val="24"/>
        </w:rPr>
      </w:pPr>
      <w:r>
        <w:rPr>
          <w:rFonts w:hint="eastAsia" w:ascii="宋体" w:hAnsi="宋体" w:cs="宋体"/>
        </w:rPr>
        <w:t>10.3</w:t>
      </w:r>
      <w:r>
        <w:rPr>
          <w:rFonts w:hint="eastAsia" w:ascii="宋体" w:hAnsi="宋体" w:cs="宋体"/>
          <w:color w:val="000000"/>
        </w:rPr>
        <w:t>供应商必须保证提交给采购人的资料与数据的真实性，并承担相应法律责任。</w:t>
      </w:r>
    </w:p>
    <w:p>
      <w:pPr>
        <w:adjustRightInd w:val="0"/>
        <w:snapToGrid w:val="0"/>
        <w:spacing w:line="360" w:lineRule="auto"/>
        <w:ind w:firstLine="422" w:firstLineChars="200"/>
        <w:outlineLvl w:val="2"/>
        <w:rPr>
          <w:rFonts w:ascii="宋体" w:hAnsi="Times New Roman" w:cs="宋体"/>
          <w:b/>
        </w:rPr>
      </w:pPr>
      <w:r>
        <w:rPr>
          <w:rFonts w:hint="eastAsia" w:ascii="宋体" w:hAnsi="宋体" w:cs="宋体"/>
          <w:b/>
        </w:rPr>
        <w:t>11.报价组成</w:t>
      </w:r>
    </w:p>
    <w:p>
      <w:pPr>
        <w:adjustRightInd w:val="0"/>
        <w:snapToGrid w:val="0"/>
        <w:spacing w:line="360" w:lineRule="auto"/>
        <w:ind w:firstLine="420" w:firstLineChars="200"/>
        <w:rPr>
          <w:rFonts w:ascii="宋体" w:hAnsi="Times New Roman" w:cs="宋体"/>
          <w:b/>
          <w:color w:val="0000FF"/>
        </w:rPr>
      </w:pPr>
      <w:r>
        <w:rPr>
          <w:rFonts w:hint="eastAsia" w:ascii="宋体" w:hAnsi="宋体" w:cs="宋体"/>
        </w:rPr>
        <w:t>11.1本项目不接受备选方案</w:t>
      </w:r>
      <w:r>
        <w:rPr>
          <w:rFonts w:hint="eastAsia" w:ascii="宋体" w:hAnsi="宋体" w:cs="宋体"/>
          <w:lang w:eastAsia="zh-CN"/>
        </w:rPr>
        <w:t>，</w:t>
      </w:r>
      <w:r>
        <w:rPr>
          <w:rFonts w:hint="eastAsia" w:ascii="宋体" w:hAnsi="宋体" w:cs="宋体"/>
        </w:rPr>
        <w:t>报价应包含但不限于以下全部费用，供应商不得再向采购人收取任何费用。主要包含产品价款、易损件、专用工具、相关配件材料、零配件价、制作费、检验费、保险费用、检测费、检定费、仓储费、运输装卸费、安装调试费、税费及一切技术和售后服务费等。</w:t>
      </w:r>
    </w:p>
    <w:p>
      <w:pPr>
        <w:adjustRightInd w:val="0"/>
        <w:snapToGrid w:val="0"/>
        <w:spacing w:line="360" w:lineRule="auto"/>
        <w:ind w:firstLine="420" w:firstLineChars="200"/>
      </w:pPr>
      <w:r>
        <w:rPr>
          <w:rFonts w:hint="eastAsia" w:ascii="宋体" w:hAnsi="宋体" w:cs="宋体"/>
        </w:rPr>
        <w:t>11.2供应商漏报的单价或每单价报价中漏报、少报的费用，视为此项费用已隐含在报价中，成交后不得再向采购人收取任何费用。</w:t>
      </w:r>
    </w:p>
    <w:p>
      <w:pPr>
        <w:adjustRightInd w:val="0"/>
        <w:snapToGrid w:val="0"/>
        <w:spacing w:line="360" w:lineRule="auto"/>
        <w:ind w:firstLine="413" w:firstLineChars="196"/>
        <w:outlineLvl w:val="2"/>
        <w:rPr>
          <w:rFonts w:ascii="宋体" w:hAnsi="Times New Roman" w:cs="宋体"/>
          <w:b/>
        </w:rPr>
      </w:pPr>
      <w:bookmarkStart w:id="25" w:name="_Toc378586971"/>
      <w:r>
        <w:rPr>
          <w:rFonts w:hint="eastAsia" w:ascii="宋体" w:hAnsi="宋体" w:cs="宋体"/>
          <w:b/>
        </w:rPr>
        <w:t>12</w:t>
      </w:r>
      <w:bookmarkEnd w:id="25"/>
      <w:r>
        <w:rPr>
          <w:rFonts w:hint="eastAsia" w:ascii="宋体" w:hAnsi="宋体" w:cs="宋体"/>
          <w:b/>
        </w:rPr>
        <w:t>.供应商约束</w:t>
      </w:r>
    </w:p>
    <w:p>
      <w:pPr>
        <w:adjustRightInd w:val="0"/>
        <w:snapToGrid w:val="0"/>
        <w:spacing w:line="360" w:lineRule="auto"/>
        <w:ind w:firstLine="420" w:firstLineChars="200"/>
        <w:rPr>
          <w:rFonts w:ascii="宋体" w:hAnsi="宋体" w:cs="宋体"/>
        </w:rPr>
      </w:pPr>
      <w:bookmarkStart w:id="26" w:name="_Hlk36653371"/>
      <w:r>
        <w:rPr>
          <w:rFonts w:hint="eastAsia" w:ascii="宋体" w:hAnsi="宋体" w:cs="宋体"/>
        </w:rPr>
        <w:t>1</w:t>
      </w:r>
      <w:r>
        <w:rPr>
          <w:rFonts w:ascii="宋体" w:hAnsi="宋体" w:cs="宋体"/>
        </w:rPr>
        <w:t>2.1</w:t>
      </w:r>
      <w:bookmarkEnd w:id="26"/>
      <w:r>
        <w:rPr>
          <w:rFonts w:hint="eastAsia" w:ascii="宋体" w:hAnsi="宋体" w:cs="宋体"/>
        </w:rPr>
        <w:t>供应商存在以下情形的，将被列入供应商不良行为：</w:t>
      </w:r>
    </w:p>
    <w:p>
      <w:pPr>
        <w:adjustRightInd w:val="0"/>
        <w:snapToGrid w:val="0"/>
        <w:spacing w:line="360" w:lineRule="auto"/>
        <w:ind w:firstLine="420" w:firstLineChars="200"/>
        <w:rPr>
          <w:rFonts w:ascii="宋体" w:hAnsi="宋体" w:cs="宋体"/>
        </w:rPr>
      </w:pPr>
      <w:r>
        <w:rPr>
          <w:rFonts w:hint="eastAsia" w:ascii="宋体" w:hAnsi="宋体" w:cs="宋体"/>
        </w:rPr>
        <w:t>（1）提供虚假材料谋取中标、成交的；</w:t>
      </w:r>
    </w:p>
    <w:p>
      <w:pPr>
        <w:adjustRightInd w:val="0"/>
        <w:snapToGrid w:val="0"/>
        <w:spacing w:line="360" w:lineRule="auto"/>
        <w:ind w:firstLine="420" w:firstLineChars="200"/>
        <w:rPr>
          <w:rFonts w:ascii="宋体" w:hAnsi="宋体" w:cs="宋体"/>
        </w:rPr>
      </w:pPr>
      <w:r>
        <w:rPr>
          <w:rFonts w:hint="eastAsia" w:ascii="宋体" w:hAnsi="宋体" w:cs="宋体"/>
        </w:rPr>
        <w:t>（2）采取不正当手段诋毁、排挤其他供应商的；</w:t>
      </w:r>
    </w:p>
    <w:p>
      <w:pPr>
        <w:adjustRightInd w:val="0"/>
        <w:snapToGrid w:val="0"/>
        <w:spacing w:line="360" w:lineRule="auto"/>
        <w:ind w:firstLine="420" w:firstLineChars="200"/>
        <w:rPr>
          <w:rFonts w:ascii="宋体" w:hAnsi="宋体" w:cs="宋体"/>
        </w:rPr>
      </w:pPr>
      <w:r>
        <w:rPr>
          <w:rFonts w:hint="eastAsia" w:ascii="宋体" w:hAnsi="宋体" w:cs="宋体"/>
        </w:rPr>
        <w:t>（3）与采购人、其他供应商或者采购代理机构恶意串通的；</w:t>
      </w:r>
    </w:p>
    <w:p>
      <w:pPr>
        <w:adjustRightInd w:val="0"/>
        <w:snapToGrid w:val="0"/>
        <w:spacing w:line="360" w:lineRule="auto"/>
        <w:ind w:firstLine="420" w:firstLineChars="200"/>
        <w:rPr>
          <w:rFonts w:ascii="宋体" w:hAnsi="宋体" w:cs="宋体"/>
        </w:rPr>
      </w:pPr>
      <w:r>
        <w:rPr>
          <w:rFonts w:hint="eastAsia" w:ascii="宋体" w:hAnsi="宋体" w:cs="宋体"/>
        </w:rPr>
        <w:t>（4）向采购人、采购代理机构行贿或者提供其他不正当利益的；</w:t>
      </w:r>
    </w:p>
    <w:p>
      <w:pPr>
        <w:adjustRightInd w:val="0"/>
        <w:snapToGrid w:val="0"/>
        <w:spacing w:line="360" w:lineRule="auto"/>
        <w:ind w:firstLine="420" w:firstLineChars="200"/>
        <w:rPr>
          <w:rFonts w:ascii="宋体" w:hAnsi="宋体" w:cs="宋体"/>
        </w:rPr>
      </w:pPr>
      <w:r>
        <w:rPr>
          <w:rFonts w:hint="eastAsia" w:ascii="宋体" w:hAnsi="宋体" w:cs="宋体"/>
        </w:rPr>
        <w:t>（5）在招标采购过程中与采购人进行协商谈判的；</w:t>
      </w:r>
    </w:p>
    <w:p>
      <w:pPr>
        <w:adjustRightInd w:val="0"/>
        <w:snapToGrid w:val="0"/>
        <w:spacing w:line="360" w:lineRule="auto"/>
        <w:ind w:firstLine="420" w:firstLineChars="200"/>
        <w:rPr>
          <w:rFonts w:ascii="宋体" w:hAnsi="宋体" w:cs="宋体"/>
        </w:rPr>
      </w:pPr>
      <w:r>
        <w:rPr>
          <w:rFonts w:hint="eastAsia" w:ascii="宋体" w:hAnsi="宋体" w:cs="宋体"/>
        </w:rPr>
        <w:t>（6）拒绝有关部门监督检查或者提供虚假情况的；</w:t>
      </w:r>
    </w:p>
    <w:p>
      <w:pPr>
        <w:adjustRightInd w:val="0"/>
        <w:snapToGrid w:val="0"/>
        <w:spacing w:line="360" w:lineRule="auto"/>
        <w:ind w:firstLine="420" w:firstLineChars="200"/>
        <w:rPr>
          <w:rFonts w:ascii="宋体" w:hAnsi="宋体" w:cs="宋体"/>
        </w:rPr>
      </w:pPr>
      <w:r>
        <w:rPr>
          <w:rFonts w:ascii="宋体" w:hAnsi="宋体" w:cs="宋体"/>
        </w:rPr>
        <w:t>（</w:t>
      </w:r>
      <w:r>
        <w:rPr>
          <w:rFonts w:hint="eastAsia" w:ascii="宋体" w:hAnsi="宋体" w:cs="宋体"/>
        </w:rPr>
        <w:t>7）将中标项目转让给他人的；</w:t>
      </w:r>
    </w:p>
    <w:p>
      <w:pPr>
        <w:adjustRightInd w:val="0"/>
        <w:snapToGrid w:val="0"/>
        <w:spacing w:line="360" w:lineRule="auto"/>
        <w:ind w:firstLine="420" w:firstLineChars="200"/>
        <w:rPr>
          <w:rFonts w:ascii="宋体" w:hAnsi="宋体" w:cs="宋体"/>
        </w:rPr>
      </w:pPr>
      <w:r>
        <w:rPr>
          <w:rFonts w:ascii="宋体" w:hAnsi="宋体" w:cs="宋体"/>
        </w:rPr>
        <w:t>（</w:t>
      </w:r>
      <w:r>
        <w:rPr>
          <w:rFonts w:hint="eastAsia" w:ascii="宋体" w:hAnsi="宋体" w:cs="宋体"/>
        </w:rPr>
        <w:t>8）拒绝履行合同义务的；</w:t>
      </w:r>
    </w:p>
    <w:p>
      <w:pPr>
        <w:adjustRightInd w:val="0"/>
        <w:snapToGrid w:val="0"/>
        <w:spacing w:line="360" w:lineRule="auto"/>
        <w:ind w:firstLine="420" w:firstLineChars="200"/>
        <w:rPr>
          <w:rFonts w:ascii="宋体" w:hAnsi="宋体" w:cs="宋体"/>
        </w:rPr>
      </w:pPr>
      <w:r>
        <w:rPr>
          <w:rFonts w:hint="eastAsia" w:ascii="宋体" w:hAnsi="宋体" w:cs="宋体"/>
        </w:rPr>
        <w:t>供应商有前款第（1）至（5）项情形之一的，中标、成交无效。</w:t>
      </w:r>
    </w:p>
    <w:p>
      <w:pPr>
        <w:adjustRightInd w:val="0"/>
        <w:snapToGrid w:val="0"/>
        <w:spacing w:line="360" w:lineRule="auto"/>
        <w:ind w:firstLine="420" w:firstLineChars="200"/>
        <w:rPr>
          <w:rFonts w:ascii="宋体" w:hAnsi="宋体" w:cs="宋体"/>
        </w:rPr>
      </w:pPr>
      <w:r>
        <w:rPr>
          <w:rFonts w:hint="eastAsia" w:ascii="宋体" w:hAnsi="宋体" w:cs="宋体"/>
        </w:rPr>
        <w:t>1</w:t>
      </w:r>
      <w:r>
        <w:rPr>
          <w:rFonts w:ascii="宋体" w:hAnsi="宋体" w:cs="宋体"/>
        </w:rPr>
        <w:t>2.2</w:t>
      </w:r>
      <w:r>
        <w:rPr>
          <w:rFonts w:hint="eastAsia" w:ascii="宋体" w:hAnsi="宋体" w:cs="宋体"/>
        </w:rPr>
        <w:t>供应商若存在不良行为，本单位可终止项目合同，或曝光其不良行为，或禁止该供应商一至三年内不得参与本单位的校内采购活动。</w:t>
      </w:r>
    </w:p>
    <w:p>
      <w:pPr>
        <w:tabs>
          <w:tab w:val="left" w:pos="1232"/>
        </w:tabs>
        <w:snapToGrid w:val="0"/>
        <w:spacing w:line="360" w:lineRule="auto"/>
        <w:ind w:firstLine="413" w:firstLineChars="196"/>
        <w:rPr>
          <w:rFonts w:ascii="宋体" w:hAnsi="Times New Roman" w:cs="宋体"/>
          <w:b/>
        </w:rPr>
      </w:pPr>
      <w:r>
        <w:rPr>
          <w:rFonts w:hint="eastAsia" w:ascii="宋体" w:hAnsi="宋体" w:cs="宋体"/>
          <w:b/>
        </w:rPr>
        <w:t>13.询价有效期</w:t>
      </w:r>
    </w:p>
    <w:p>
      <w:pPr>
        <w:tabs>
          <w:tab w:val="left" w:pos="1232"/>
        </w:tabs>
        <w:snapToGrid w:val="0"/>
        <w:spacing w:line="360" w:lineRule="auto"/>
        <w:ind w:firstLine="411" w:firstLineChars="196"/>
        <w:rPr>
          <w:rFonts w:ascii="宋体" w:hAnsi="Times New Roman" w:cs="宋体"/>
          <w:b/>
        </w:rPr>
      </w:pPr>
      <w:r>
        <w:rPr>
          <w:rFonts w:hint="eastAsia" w:ascii="宋体" w:hAnsi="宋体" w:cs="宋体"/>
        </w:rPr>
        <w:t>13.1响应文件在询价开始时间后90天内有效。</w:t>
      </w:r>
    </w:p>
    <w:p>
      <w:pPr>
        <w:tabs>
          <w:tab w:val="left" w:pos="1232"/>
        </w:tabs>
        <w:snapToGrid w:val="0"/>
        <w:spacing w:line="360" w:lineRule="auto"/>
        <w:ind w:firstLine="420" w:firstLineChars="200"/>
        <w:rPr>
          <w:rFonts w:ascii="宋体" w:hAnsi="Times New Roman" w:cs="宋体"/>
        </w:rPr>
      </w:pPr>
      <w:r>
        <w:rPr>
          <w:rFonts w:hint="eastAsia" w:ascii="宋体" w:hAnsi="宋体" w:cs="宋体"/>
        </w:rPr>
        <w:t>13.2在特殊情况下，采购人</w:t>
      </w:r>
      <w:r>
        <w:rPr>
          <w:rFonts w:hint="eastAsia" w:ascii="宋体" w:hAnsi="宋体" w:cs="宋体"/>
          <w:highlight w:val="none"/>
        </w:rPr>
        <w:t>可于</w:t>
      </w:r>
      <w:r>
        <w:rPr>
          <w:rFonts w:hint="eastAsia" w:ascii="宋体" w:hAnsi="宋体" w:cs="宋体"/>
        </w:rPr>
        <w:t>询价有效期满之前要求供应商延长有效期，延期要求与答复均应以书面形式提交。供应商可以拒绝上述要求，同意延期供应商原询价有效期内的权利及责任不改变，并相应延续；</w:t>
      </w:r>
    </w:p>
    <w:p>
      <w:pPr>
        <w:tabs>
          <w:tab w:val="left" w:pos="1232"/>
        </w:tabs>
        <w:snapToGrid w:val="0"/>
        <w:spacing w:line="360" w:lineRule="auto"/>
        <w:ind w:firstLine="411" w:firstLineChars="196"/>
        <w:rPr>
          <w:rFonts w:ascii="宋体" w:hAnsi="Times New Roman" w:cs="宋体"/>
        </w:rPr>
      </w:pPr>
      <w:r>
        <w:rPr>
          <w:rFonts w:hint="eastAsia" w:ascii="宋体" w:hAnsi="宋体" w:cs="宋体"/>
        </w:rPr>
        <w:t>13.3询价有效期比规定期限短的将被视为非响应询价予以拒绝。</w:t>
      </w:r>
    </w:p>
    <w:p>
      <w:pPr>
        <w:tabs>
          <w:tab w:val="left" w:pos="1232"/>
        </w:tabs>
        <w:snapToGrid w:val="0"/>
        <w:spacing w:line="360" w:lineRule="auto"/>
        <w:ind w:firstLine="413" w:firstLineChars="196"/>
        <w:rPr>
          <w:rFonts w:ascii="宋体" w:hAnsi="Times New Roman" w:cs="宋体"/>
          <w:b/>
        </w:rPr>
      </w:pPr>
      <w:r>
        <w:rPr>
          <w:rFonts w:hint="eastAsia" w:ascii="宋体" w:hAnsi="宋体" w:cs="宋体"/>
          <w:b/>
        </w:rPr>
        <w:t>14.响应文件的式样和签署</w:t>
      </w:r>
    </w:p>
    <w:p>
      <w:pPr>
        <w:snapToGrid w:val="0"/>
        <w:spacing w:line="360" w:lineRule="auto"/>
        <w:ind w:firstLine="420" w:firstLineChars="200"/>
        <w:rPr>
          <w:rFonts w:ascii="宋体" w:hAnsi="Times New Roman" w:cs="宋体"/>
          <w:color w:val="000000"/>
        </w:rPr>
      </w:pPr>
      <w:r>
        <w:rPr>
          <w:rFonts w:hint="eastAsia" w:ascii="宋体" w:hAnsi="宋体" w:cs="宋体"/>
          <w:color w:val="000000"/>
        </w:rPr>
        <w:t>14.1响应文件</w:t>
      </w:r>
      <w:r>
        <w:rPr>
          <w:rFonts w:hint="eastAsia" w:ascii="宋体" w:hAnsi="宋体" w:cs="宋体"/>
          <w:b/>
          <w:color w:val="000000"/>
        </w:rPr>
        <w:t>正本一份，副本二份（封面注明供应商名称和项目编号）</w:t>
      </w:r>
      <w:r>
        <w:rPr>
          <w:rFonts w:hint="eastAsia" w:ascii="宋体" w:hAnsi="宋体" w:cs="宋体"/>
          <w:color w:val="000000"/>
        </w:rPr>
        <w:t>，在每一份响应文件上注明</w:t>
      </w:r>
      <w:r>
        <w:rPr>
          <w:rFonts w:hint="eastAsia" w:ascii="宋体" w:hAnsi="Times New Roman" w:cs="宋体"/>
          <w:color w:val="000000"/>
        </w:rPr>
        <w:t>“</w:t>
      </w:r>
      <w:r>
        <w:rPr>
          <w:rFonts w:hint="eastAsia" w:ascii="宋体" w:hAnsi="宋体" w:cs="宋体"/>
          <w:color w:val="000000"/>
        </w:rPr>
        <w:t>正本</w:t>
      </w:r>
      <w:r>
        <w:rPr>
          <w:rFonts w:hint="eastAsia" w:ascii="宋体" w:hAnsi="Times New Roman" w:cs="宋体"/>
          <w:color w:val="000000"/>
        </w:rPr>
        <w:t>”</w:t>
      </w:r>
      <w:r>
        <w:rPr>
          <w:rFonts w:hint="eastAsia" w:ascii="宋体" w:hAnsi="宋体" w:cs="宋体"/>
          <w:color w:val="000000"/>
        </w:rPr>
        <w:t>或</w:t>
      </w:r>
      <w:r>
        <w:rPr>
          <w:rFonts w:hint="eastAsia" w:ascii="宋体" w:hAnsi="Times New Roman" w:cs="宋体"/>
          <w:color w:val="000000"/>
        </w:rPr>
        <w:t>“</w:t>
      </w:r>
      <w:r>
        <w:rPr>
          <w:rFonts w:hint="eastAsia" w:ascii="宋体" w:hAnsi="宋体" w:cs="宋体"/>
          <w:color w:val="000000"/>
        </w:rPr>
        <w:t>副本</w:t>
      </w:r>
      <w:r>
        <w:rPr>
          <w:rFonts w:hint="eastAsia" w:ascii="宋体" w:hAnsi="Times New Roman" w:cs="宋体"/>
          <w:color w:val="000000"/>
        </w:rPr>
        <w:t>”</w:t>
      </w:r>
      <w:r>
        <w:rPr>
          <w:rFonts w:hint="eastAsia" w:ascii="宋体" w:hAnsi="宋体" w:cs="宋体"/>
          <w:color w:val="000000"/>
        </w:rPr>
        <w:t>字样；正本和副本内容有差异，以正本为准；</w:t>
      </w:r>
    </w:p>
    <w:p>
      <w:pPr>
        <w:snapToGrid w:val="0"/>
        <w:spacing w:line="360" w:lineRule="auto"/>
        <w:rPr>
          <w:rFonts w:ascii="宋体" w:hAnsi="Times New Roman" w:cs="宋体"/>
          <w:color w:val="000000"/>
        </w:rPr>
      </w:pPr>
      <w:r>
        <w:rPr>
          <w:rFonts w:hint="eastAsia" w:ascii="宋体" w:hAnsi="宋体" w:cs="宋体"/>
          <w:color w:val="000000"/>
        </w:rPr>
        <w:t xml:space="preserve">    14.2响应文件正本均须用不褪色墨水书写或打印，由法定代表人或其授权代表在指定位置签字盖章；</w:t>
      </w:r>
    </w:p>
    <w:p>
      <w:pPr>
        <w:snapToGrid w:val="0"/>
        <w:spacing w:line="360" w:lineRule="auto"/>
        <w:rPr>
          <w:rFonts w:ascii="宋体" w:hAnsi="Times New Roman" w:cs="宋体"/>
          <w:color w:val="000000"/>
        </w:rPr>
      </w:pPr>
      <w:r>
        <w:rPr>
          <w:rFonts w:hint="eastAsia" w:ascii="宋体" w:hAnsi="宋体" w:cs="宋体"/>
          <w:color w:val="000000"/>
        </w:rPr>
        <w:t xml:space="preserve">    14.3响应文件副本的所有资料都可以用正本复印而成；</w:t>
      </w:r>
    </w:p>
    <w:p>
      <w:pPr>
        <w:snapToGrid w:val="0"/>
        <w:spacing w:line="360" w:lineRule="auto"/>
        <w:rPr>
          <w:rFonts w:ascii="宋体" w:hAnsi="Times New Roman" w:cs="宋体"/>
          <w:color w:val="000000"/>
        </w:rPr>
      </w:pPr>
      <w:r>
        <w:rPr>
          <w:rFonts w:hint="eastAsia" w:ascii="宋体" w:hAnsi="宋体" w:cs="宋体"/>
          <w:color w:val="000000"/>
        </w:rPr>
        <w:t xml:space="preserve">    14.4响应文件正本及所有副本的封面均须加盖公章；</w:t>
      </w:r>
    </w:p>
    <w:p>
      <w:pPr>
        <w:snapToGrid w:val="0"/>
        <w:spacing w:line="360" w:lineRule="auto"/>
        <w:rPr>
          <w:rFonts w:ascii="宋体" w:hAnsi="Times New Roman" w:cs="宋体"/>
          <w:color w:val="000000"/>
        </w:rPr>
      </w:pPr>
      <w:r>
        <w:rPr>
          <w:rFonts w:hint="eastAsia" w:ascii="宋体" w:hAnsi="宋体" w:cs="宋体"/>
          <w:color w:val="000000"/>
        </w:rPr>
        <w:t xml:space="preserve">    14.5传真和邮件的响应文件将被拒绝。</w:t>
      </w:r>
    </w:p>
    <w:p>
      <w:pPr>
        <w:adjustRightInd w:val="0"/>
        <w:snapToGrid w:val="0"/>
        <w:spacing w:line="360" w:lineRule="auto"/>
        <w:rPr>
          <w:rFonts w:ascii="宋体" w:hAnsi="Times New Roman" w:cs="宋体"/>
        </w:rPr>
      </w:pPr>
    </w:p>
    <w:p>
      <w:pPr>
        <w:pStyle w:val="3"/>
        <w:adjustRightInd w:val="0"/>
        <w:snapToGrid w:val="0"/>
        <w:spacing w:line="360" w:lineRule="auto"/>
        <w:jc w:val="center"/>
        <w:rPr>
          <w:sz w:val="30"/>
          <w:szCs w:val="30"/>
          <w:highlight w:val="none"/>
        </w:rPr>
      </w:pPr>
      <w:bookmarkStart w:id="27" w:name="_Toc453493035"/>
      <w:bookmarkStart w:id="28" w:name="_Toc454458056"/>
      <w:bookmarkStart w:id="29" w:name="_Toc448133312"/>
      <w:bookmarkStart w:id="30" w:name="_Toc6491"/>
      <w:r>
        <w:rPr>
          <w:rFonts w:hint="eastAsia" w:cs="宋体"/>
          <w:sz w:val="30"/>
          <w:szCs w:val="30"/>
          <w:highlight w:val="none"/>
        </w:rPr>
        <w:t>四、响应文件的递交</w:t>
      </w:r>
      <w:bookmarkEnd w:id="27"/>
      <w:bookmarkEnd w:id="28"/>
      <w:bookmarkEnd w:id="29"/>
      <w:bookmarkEnd w:id="30"/>
    </w:p>
    <w:p>
      <w:pPr>
        <w:autoSpaceDE w:val="0"/>
        <w:autoSpaceDN w:val="0"/>
        <w:adjustRightInd w:val="0"/>
        <w:snapToGrid w:val="0"/>
        <w:spacing w:line="360" w:lineRule="auto"/>
        <w:ind w:firstLine="413" w:firstLineChars="196"/>
        <w:jc w:val="left"/>
        <w:rPr>
          <w:rFonts w:ascii="宋体" w:hAnsi="Times New Roman" w:cs="宋体"/>
          <w:b/>
          <w:highlight w:val="none"/>
          <w:lang w:eastAsia="zh-TW"/>
        </w:rPr>
      </w:pPr>
      <w:r>
        <w:rPr>
          <w:rFonts w:hint="eastAsia" w:ascii="宋体" w:hAnsi="宋体" w:cs="宋体"/>
          <w:b/>
          <w:highlight w:val="none"/>
          <w:lang w:eastAsia="zh-TW"/>
        </w:rPr>
        <w:t>1</w:t>
      </w:r>
      <w:r>
        <w:rPr>
          <w:rFonts w:hint="eastAsia" w:ascii="宋体" w:hAnsi="宋体" w:cs="宋体"/>
          <w:b/>
          <w:highlight w:val="none"/>
        </w:rPr>
        <w:t>5</w:t>
      </w:r>
      <w:r>
        <w:rPr>
          <w:rFonts w:hint="eastAsia" w:ascii="宋体" w:hAnsi="Times New Roman" w:cs="宋体"/>
          <w:b/>
          <w:highlight w:val="none"/>
          <w:lang w:eastAsia="zh-TW"/>
        </w:rPr>
        <w:t>.</w:t>
      </w:r>
      <w:r>
        <w:rPr>
          <w:rFonts w:hint="eastAsia" w:ascii="宋体" w:hAnsi="宋体" w:cs="宋体"/>
          <w:b/>
          <w:highlight w:val="none"/>
          <w:lang w:eastAsia="zh-TW"/>
        </w:rPr>
        <w:t>响应文件的密封和标记</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15.1</w:t>
      </w:r>
      <w:r>
        <w:rPr>
          <w:rFonts w:hint="eastAsia" w:ascii="宋体" w:hAnsi="宋体" w:cs="宋体"/>
          <w:highlight w:val="none"/>
          <w:lang w:eastAsia="zh-TW"/>
        </w:rPr>
        <w:t>正本和副本响应文件一起封装，封口处加盖公章；</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15.2</w:t>
      </w:r>
      <w:r>
        <w:rPr>
          <w:rFonts w:hint="eastAsia" w:ascii="宋体" w:hAnsi="宋体" w:cs="宋体"/>
          <w:highlight w:val="none"/>
          <w:lang w:eastAsia="zh-TW"/>
        </w:rPr>
        <w:t>注明</w:t>
      </w:r>
      <w:r>
        <w:rPr>
          <w:rFonts w:hint="eastAsia" w:ascii="宋体" w:hAnsi="宋体" w:cs="宋体"/>
          <w:highlight w:val="none"/>
        </w:rPr>
        <w:t>询价</w:t>
      </w:r>
      <w:r>
        <w:rPr>
          <w:rFonts w:hint="eastAsia" w:ascii="宋体" w:hAnsi="宋体" w:cs="宋体"/>
          <w:highlight w:val="none"/>
          <w:lang w:eastAsia="zh-TW"/>
        </w:rPr>
        <w:t>邀请函中指明的项目名称、项目编号和“在（响应文件递交截止时间）之前不得启封”的字样；</w:t>
      </w:r>
    </w:p>
    <w:p>
      <w:pPr>
        <w:autoSpaceDE w:val="0"/>
        <w:autoSpaceDN w:val="0"/>
        <w:adjustRightInd w:val="0"/>
        <w:snapToGrid w:val="0"/>
        <w:spacing w:line="360" w:lineRule="auto"/>
        <w:jc w:val="left"/>
        <w:rPr>
          <w:rFonts w:ascii="宋体" w:hAnsi="Times New Roman" w:cs="宋体"/>
          <w:highlight w:val="none"/>
          <w:lang w:eastAsia="zh-TW"/>
        </w:rPr>
      </w:pPr>
      <w:r>
        <w:rPr>
          <w:rFonts w:hint="eastAsia" w:ascii="宋体" w:hAnsi="宋体" w:cs="宋体"/>
          <w:highlight w:val="none"/>
        </w:rPr>
        <w:t xml:space="preserve">    15.3</w:t>
      </w:r>
      <w:r>
        <w:rPr>
          <w:rFonts w:hint="eastAsia" w:ascii="宋体" w:hAnsi="宋体" w:cs="宋体"/>
          <w:highlight w:val="none"/>
          <w:lang w:eastAsia="zh-TW"/>
        </w:rPr>
        <w:t>封套（使用不透明封套）应写明供应商名称和地址；</w:t>
      </w:r>
    </w:p>
    <w:p>
      <w:pPr>
        <w:autoSpaceDE w:val="0"/>
        <w:autoSpaceDN w:val="0"/>
        <w:adjustRightInd w:val="0"/>
        <w:snapToGrid w:val="0"/>
        <w:spacing w:line="360" w:lineRule="auto"/>
        <w:ind w:firstLine="420" w:firstLineChars="200"/>
        <w:jc w:val="left"/>
        <w:rPr>
          <w:rFonts w:ascii="宋体" w:hAnsi="Times New Roman" w:cs="宋体"/>
          <w:highlight w:val="none"/>
          <w:lang w:eastAsia="zh-TW"/>
        </w:rPr>
      </w:pPr>
      <w:r>
        <w:rPr>
          <w:rFonts w:hint="eastAsia" w:ascii="宋体" w:hAnsi="宋体" w:cs="宋体"/>
          <w:highlight w:val="none"/>
        </w:rPr>
        <w:t>15.4</w:t>
      </w:r>
      <w:r>
        <w:rPr>
          <w:rFonts w:hint="eastAsia" w:ascii="宋体" w:hAnsi="宋体" w:cs="宋体"/>
          <w:highlight w:val="none"/>
          <w:lang w:eastAsia="zh-TW"/>
        </w:rPr>
        <w:t>如果封套未按本须知要求密封和加写标记，采购人有权拒绝其</w:t>
      </w:r>
      <w:r>
        <w:rPr>
          <w:rFonts w:hint="eastAsia" w:ascii="宋体" w:hAnsi="宋体" w:cs="宋体"/>
          <w:highlight w:val="none"/>
        </w:rPr>
        <w:t>询价</w:t>
      </w:r>
      <w:r>
        <w:rPr>
          <w:rFonts w:hint="eastAsia" w:ascii="宋体" w:hAnsi="宋体" w:cs="宋体"/>
          <w:highlight w:val="none"/>
          <w:lang w:eastAsia="zh-TW"/>
        </w:rPr>
        <w:t>。</w:t>
      </w:r>
    </w:p>
    <w:p>
      <w:pPr>
        <w:autoSpaceDE w:val="0"/>
        <w:autoSpaceDN w:val="0"/>
        <w:adjustRightInd w:val="0"/>
        <w:snapToGrid w:val="0"/>
        <w:spacing w:line="360" w:lineRule="auto"/>
        <w:ind w:firstLine="413" w:firstLineChars="196"/>
        <w:jc w:val="left"/>
        <w:rPr>
          <w:rFonts w:ascii="宋体" w:hAnsi="Times New Roman" w:cs="宋体"/>
          <w:b/>
          <w:highlight w:val="none"/>
          <w:lang w:eastAsia="zh-TW"/>
        </w:rPr>
      </w:pPr>
      <w:r>
        <w:rPr>
          <w:rFonts w:hint="eastAsia" w:ascii="宋体" w:hAnsi="宋体" w:cs="宋体"/>
          <w:b/>
          <w:highlight w:val="none"/>
          <w:lang w:eastAsia="zh-TW"/>
        </w:rPr>
        <w:t>1</w:t>
      </w:r>
      <w:r>
        <w:rPr>
          <w:rFonts w:hint="eastAsia" w:ascii="宋体" w:hAnsi="宋体" w:cs="宋体"/>
          <w:b/>
          <w:highlight w:val="none"/>
        </w:rPr>
        <w:t>6</w:t>
      </w:r>
      <w:r>
        <w:rPr>
          <w:rFonts w:hint="eastAsia" w:ascii="宋体" w:hAnsi="Times New Roman" w:cs="宋体"/>
          <w:b/>
          <w:highlight w:val="none"/>
          <w:lang w:eastAsia="zh-TW"/>
        </w:rPr>
        <w:t>.</w:t>
      </w:r>
      <w:r>
        <w:rPr>
          <w:rFonts w:hint="eastAsia" w:ascii="宋体" w:hAnsi="宋体" w:cs="宋体"/>
          <w:b/>
          <w:highlight w:val="none"/>
          <w:lang w:eastAsia="zh-TW"/>
        </w:rPr>
        <w:t>响应文件的修改和撤回、撤销</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16.1询价</w:t>
      </w:r>
      <w:r>
        <w:rPr>
          <w:rFonts w:hint="eastAsia" w:ascii="宋体" w:hAnsi="宋体" w:cs="宋体"/>
          <w:highlight w:val="none"/>
          <w:lang w:eastAsia="zh-TW"/>
        </w:rPr>
        <w:t>开始之前，供应商可以修改或撤回已递交的响应文件，但必须提供由法定代表人或其授权代表签署的申请文件；</w:t>
      </w:r>
    </w:p>
    <w:p>
      <w:pPr>
        <w:autoSpaceDE w:val="0"/>
        <w:autoSpaceDN w:val="0"/>
        <w:adjustRightInd w:val="0"/>
        <w:snapToGrid w:val="0"/>
        <w:spacing w:line="360" w:lineRule="auto"/>
        <w:ind w:firstLine="411" w:firstLineChars="196"/>
        <w:jc w:val="left"/>
        <w:rPr>
          <w:rFonts w:ascii="宋体" w:hAnsi="Times New Roman" w:cs="宋体"/>
          <w:highlight w:val="yellow"/>
          <w:lang w:eastAsia="zh-TW"/>
        </w:rPr>
      </w:pPr>
      <w:r>
        <w:rPr>
          <w:rFonts w:hint="eastAsia" w:ascii="宋体" w:hAnsi="宋体" w:cs="宋体"/>
          <w:highlight w:val="none"/>
        </w:rPr>
        <w:t>16.2</w:t>
      </w:r>
      <w:r>
        <w:rPr>
          <w:rFonts w:hint="eastAsia" w:ascii="宋体" w:hAnsi="宋体" w:cs="宋体"/>
          <w:highlight w:val="none"/>
          <w:lang w:eastAsia="zh-TW"/>
        </w:rPr>
        <w:t>在</w:t>
      </w:r>
      <w:r>
        <w:rPr>
          <w:rFonts w:hint="eastAsia" w:ascii="宋体" w:hAnsi="宋体" w:cs="宋体"/>
          <w:highlight w:val="none"/>
        </w:rPr>
        <w:t>询价</w:t>
      </w:r>
      <w:r>
        <w:rPr>
          <w:rFonts w:hint="eastAsia" w:ascii="宋体" w:hAnsi="宋体" w:cs="宋体"/>
          <w:highlight w:val="none"/>
          <w:lang w:eastAsia="zh-TW"/>
        </w:rPr>
        <w:t>开始之后不允许撤回报价。</w:t>
      </w:r>
    </w:p>
    <w:p>
      <w:pPr>
        <w:autoSpaceDE w:val="0"/>
        <w:autoSpaceDN w:val="0"/>
        <w:adjustRightInd w:val="0"/>
        <w:snapToGrid w:val="0"/>
        <w:spacing w:line="360" w:lineRule="auto"/>
        <w:ind w:firstLine="411" w:firstLineChars="196"/>
        <w:jc w:val="left"/>
        <w:rPr>
          <w:rFonts w:ascii="宋体" w:hAnsi="Times New Roman" w:cs="宋体"/>
        </w:rPr>
      </w:pPr>
    </w:p>
    <w:p>
      <w:pPr>
        <w:pStyle w:val="3"/>
        <w:keepLines w:val="0"/>
        <w:widowControl/>
        <w:numPr>
          <w:ilvl w:val="0"/>
          <w:numId w:val="1"/>
        </w:numPr>
        <w:adjustRightInd w:val="0"/>
        <w:snapToGrid w:val="0"/>
        <w:spacing w:before="0" w:after="0" w:line="360" w:lineRule="auto"/>
        <w:jc w:val="center"/>
        <w:rPr>
          <w:sz w:val="30"/>
          <w:szCs w:val="30"/>
        </w:rPr>
      </w:pPr>
      <w:bookmarkStart w:id="31" w:name="_Toc454458057"/>
      <w:bookmarkStart w:id="32" w:name="_Toc453493036"/>
      <w:bookmarkStart w:id="33" w:name="_Toc448133313"/>
      <w:bookmarkStart w:id="34" w:name="_Toc26439"/>
      <w:r>
        <w:rPr>
          <w:rFonts w:hint="eastAsia" w:cs="宋体"/>
          <w:sz w:val="30"/>
          <w:szCs w:val="30"/>
        </w:rPr>
        <w:t>询价流程</w:t>
      </w:r>
      <w:bookmarkEnd w:id="31"/>
      <w:bookmarkEnd w:id="32"/>
      <w:bookmarkEnd w:id="33"/>
      <w:bookmarkEnd w:id="34"/>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17.询价小组</w:t>
      </w:r>
    </w:p>
    <w:p>
      <w:pPr>
        <w:adjustRightInd w:val="0"/>
        <w:snapToGrid w:val="0"/>
        <w:spacing w:line="360" w:lineRule="auto"/>
        <w:ind w:firstLine="420" w:firstLineChars="200"/>
        <w:rPr>
          <w:rFonts w:ascii="宋体" w:hAnsi="Times New Roman" w:cs="宋体"/>
          <w:b/>
        </w:rPr>
      </w:pPr>
      <w:r>
        <w:rPr>
          <w:rFonts w:hint="eastAsia" w:ascii="宋体" w:hAnsi="宋体" w:cs="宋体"/>
        </w:rPr>
        <w:t>17.1</w:t>
      </w:r>
      <w:r>
        <w:rPr>
          <w:rFonts w:hint="eastAsia" w:ascii="宋体" w:hAnsi="宋体" w:cs="宋体"/>
          <w:color w:val="000000"/>
        </w:rPr>
        <w:t>询价小组共3人，由</w:t>
      </w:r>
      <w:bookmarkStart w:id="35" w:name="_Hlk42790008"/>
      <w:r>
        <w:rPr>
          <w:rFonts w:hint="eastAsia" w:ascii="宋体" w:hAnsi="宋体" w:cs="宋体"/>
          <w:color w:val="000000"/>
        </w:rPr>
        <w:t>项目部门代表</w:t>
      </w:r>
      <w:bookmarkEnd w:id="35"/>
      <w:r>
        <w:rPr>
          <w:rFonts w:hint="eastAsia" w:ascii="宋体" w:hAnsi="宋体" w:cs="宋体"/>
          <w:color w:val="000000"/>
        </w:rPr>
        <w:t>及广西南宁技师学院采购项目相关专业教师中随机抽取的专家组成；</w:t>
      </w:r>
    </w:p>
    <w:p>
      <w:pPr>
        <w:adjustRightInd w:val="0"/>
        <w:snapToGrid w:val="0"/>
        <w:spacing w:line="360" w:lineRule="auto"/>
        <w:ind w:firstLine="420" w:firstLineChars="200"/>
        <w:rPr>
          <w:rFonts w:ascii="宋体" w:hAnsi="Times New Roman" w:cs="宋体"/>
          <w:lang w:eastAsia="zh-TW"/>
        </w:rPr>
      </w:pPr>
      <w:r>
        <w:rPr>
          <w:rFonts w:hint="eastAsia" w:ascii="宋体" w:hAnsi="宋体" w:cs="宋体"/>
        </w:rPr>
        <w:t>17.2询价小组名单在评审结果确定前严格保密</w:t>
      </w:r>
      <w:r>
        <w:rPr>
          <w:rFonts w:hint="eastAsia" w:ascii="宋体" w:hAnsi="宋体" w:cs="宋体"/>
          <w:lang w:eastAsia="zh-TW"/>
        </w:rPr>
        <w:t>。</w:t>
      </w:r>
      <w:r>
        <w:rPr>
          <w:rFonts w:hint="eastAsia" w:ascii="宋体" w:hAnsi="宋体" w:cs="宋体"/>
        </w:rPr>
        <w:t>评审</w:t>
      </w:r>
      <w:r>
        <w:rPr>
          <w:rFonts w:hint="eastAsia" w:ascii="宋体" w:hAnsi="宋体" w:cs="宋体"/>
          <w:lang w:eastAsia="zh-TW"/>
        </w:rPr>
        <w:t>专家有下列情形之一的，受到邀请应主动提出回避，</w:t>
      </w:r>
      <w:r>
        <w:rPr>
          <w:rFonts w:hint="eastAsia" w:ascii="宋体" w:hAnsi="宋体" w:cs="宋体"/>
          <w:color w:val="000000"/>
        </w:rPr>
        <w:t>采购人</w:t>
      </w:r>
      <w:r>
        <w:rPr>
          <w:rFonts w:hint="eastAsia" w:ascii="宋体" w:hAnsi="宋体" w:cs="宋体"/>
          <w:lang w:eastAsia="zh-TW"/>
        </w:rPr>
        <w:t>也可以要求该</w:t>
      </w:r>
      <w:r>
        <w:rPr>
          <w:rFonts w:hint="eastAsia" w:ascii="宋体" w:hAnsi="宋体" w:cs="宋体"/>
        </w:rPr>
        <w:t>评审</w:t>
      </w:r>
      <w:r>
        <w:rPr>
          <w:rFonts w:hint="eastAsia" w:ascii="宋体" w:hAnsi="宋体" w:cs="宋体"/>
          <w:lang w:eastAsia="zh-TW"/>
        </w:rPr>
        <w:t>专家回避：</w:t>
      </w:r>
    </w:p>
    <w:p>
      <w:pPr>
        <w:tabs>
          <w:tab w:val="left" w:pos="851"/>
        </w:tabs>
        <w:autoSpaceDE w:val="0"/>
        <w:autoSpaceDN w:val="0"/>
        <w:adjustRightInd w:val="0"/>
        <w:snapToGrid w:val="0"/>
        <w:spacing w:line="360" w:lineRule="auto"/>
        <w:ind w:firstLine="420" w:firstLineChars="200"/>
        <w:rPr>
          <w:rFonts w:ascii="宋体" w:hAnsi="Times New Roman" w:cs="宋体"/>
          <w:highlight w:val="none"/>
          <w:lang w:eastAsia="zh-TW"/>
        </w:rPr>
      </w:pPr>
      <w:r>
        <w:rPr>
          <w:rFonts w:hint="eastAsia" w:ascii="宋体" w:hAnsi="宋体" w:cs="宋体"/>
        </w:rPr>
        <w:t>17.2.1</w:t>
      </w:r>
      <w:r>
        <w:rPr>
          <w:rFonts w:hint="eastAsia" w:ascii="宋体" w:hAnsi="宋体" w:cs="宋体"/>
          <w:lang w:eastAsia="zh-TW"/>
        </w:rPr>
        <w:t>评标委员会中，</w:t>
      </w:r>
      <w:r>
        <w:rPr>
          <w:rFonts w:hint="eastAsia" w:ascii="宋体" w:hAnsi="宋体" w:cs="宋体"/>
          <w:highlight w:val="none"/>
          <w:lang w:eastAsia="zh-TW"/>
        </w:rPr>
        <w:t>同一部门的评审专家超过二名的；</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17.2.2</w:t>
      </w:r>
      <w:r>
        <w:rPr>
          <w:rFonts w:hint="eastAsia" w:ascii="宋体" w:hAnsi="宋体" w:cs="宋体"/>
          <w:lang w:eastAsia="zh-TW"/>
        </w:rPr>
        <w:t>参与询价文件论证的；</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17.2.3</w:t>
      </w:r>
      <w:r>
        <w:rPr>
          <w:rFonts w:hint="eastAsia" w:ascii="宋体" w:hAnsi="宋体" w:cs="宋体"/>
          <w:lang w:eastAsia="zh-TW"/>
        </w:rPr>
        <w:t>参加采购活动前3年内与供应商存在劳动关系；</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17.2.4</w:t>
      </w:r>
      <w:r>
        <w:rPr>
          <w:rFonts w:hint="eastAsia" w:ascii="宋体" w:hAnsi="宋体" w:cs="宋体"/>
          <w:lang w:eastAsia="zh-TW"/>
        </w:rPr>
        <w:t>参加采购活动前3年内担任供应商的董事、监事；</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17.2.5</w:t>
      </w:r>
      <w:r>
        <w:rPr>
          <w:rFonts w:hint="eastAsia" w:ascii="宋体" w:hAnsi="宋体" w:cs="宋体"/>
          <w:lang w:eastAsia="zh-TW"/>
        </w:rPr>
        <w:t>参加采购活动前3年内是供应商的控股股东或者实际控制人；</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17.2.6</w:t>
      </w:r>
      <w:r>
        <w:rPr>
          <w:rFonts w:hint="eastAsia" w:ascii="宋体" w:hAnsi="宋体" w:cs="宋体"/>
          <w:lang w:eastAsia="zh-TW"/>
        </w:rPr>
        <w:t>与供应商的法定代表人或者负责人有夫妻、直系血亲、三代以内旁系血亲或者近姻亲关系；</w:t>
      </w:r>
    </w:p>
    <w:p>
      <w:pPr>
        <w:tabs>
          <w:tab w:val="left" w:pos="851"/>
        </w:tabs>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17.2.7</w:t>
      </w:r>
      <w:r>
        <w:rPr>
          <w:rFonts w:hint="eastAsia" w:ascii="宋体" w:hAnsi="宋体" w:cs="宋体"/>
          <w:lang w:eastAsia="zh-TW"/>
        </w:rPr>
        <w:t>与供应商有其他可能影响政府采购活动公平、公正进行的关系。</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17.3询价小组成员以及评审工作有关的人员不得泄露评审情况以及评审过程中获悉的国家秘密、商业秘密。</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18.询价程序</w:t>
      </w:r>
    </w:p>
    <w:p>
      <w:pPr>
        <w:tabs>
          <w:tab w:val="left" w:pos="851"/>
        </w:tabs>
        <w:autoSpaceDE w:val="0"/>
        <w:autoSpaceDN w:val="0"/>
        <w:adjustRightInd w:val="0"/>
        <w:snapToGrid w:val="0"/>
        <w:spacing w:line="360" w:lineRule="auto"/>
        <w:ind w:firstLine="420" w:firstLineChars="200"/>
        <w:rPr>
          <w:rFonts w:ascii="宋体" w:hAnsi="宋体" w:cs="宋体"/>
        </w:rPr>
      </w:pPr>
      <w:r>
        <w:rPr>
          <w:rFonts w:hint="eastAsia" w:ascii="宋体" w:hAnsi="宋体" w:cs="宋体"/>
        </w:rPr>
        <w:t>18.1询价小组对响应文件进行资格、符合性审查，具体条款详见附件一《资格性及符合性审查表》，只要不满足资格性和符合性条款所列要求之一的，将被认定为无效报价。对报价有效性认定意见不一致的，询价小组按照少数服从多数原则确定。</w:t>
      </w:r>
    </w:p>
    <w:p>
      <w:pPr>
        <w:adjustRightInd w:val="0"/>
        <w:snapToGrid w:val="0"/>
        <w:spacing w:line="360" w:lineRule="auto"/>
        <w:ind w:firstLine="420" w:firstLineChars="200"/>
        <w:rPr>
          <w:rFonts w:ascii="宋体" w:hAnsi="Times New Roman" w:cs="宋体"/>
        </w:rPr>
      </w:pPr>
      <w:r>
        <w:rPr>
          <w:rFonts w:hint="eastAsia" w:ascii="宋体" w:hAnsi="宋体" w:cs="宋体"/>
        </w:rPr>
        <w:t>18.2询价小组应对响应文件的有效性、完整性和响应程度进行评审，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询价小组要求供应商澄清、说明或者更正响应文件应当以书面形式作出，供应商的澄清、说明或者更正应当由法定代表人或其授权代表签字。</w:t>
      </w:r>
    </w:p>
    <w:p>
      <w:pPr>
        <w:adjustRightInd w:val="0"/>
        <w:snapToGrid w:val="0"/>
        <w:spacing w:line="360" w:lineRule="auto"/>
        <w:ind w:firstLine="420" w:firstLineChars="200"/>
        <w:rPr>
          <w:rFonts w:ascii="宋体" w:hAnsi="Times New Roman" w:cs="宋体"/>
        </w:rPr>
      </w:pPr>
      <w:r>
        <w:rPr>
          <w:rFonts w:hint="eastAsia" w:ascii="宋体" w:hAnsi="宋体" w:cs="宋体"/>
        </w:rPr>
        <w:t>18.3在询价过程中，询价小组不得改变询价文件所确定的技术和服务等要求、评审程序、评定成交的标准和合同文本等事项。</w:t>
      </w:r>
    </w:p>
    <w:p>
      <w:pPr>
        <w:adjustRightInd w:val="0"/>
        <w:snapToGrid w:val="0"/>
        <w:spacing w:line="360" w:lineRule="auto"/>
        <w:ind w:firstLine="420" w:firstLineChars="200"/>
        <w:rPr>
          <w:rFonts w:ascii="宋体" w:hAnsi="Times New Roman" w:cs="宋体"/>
          <w:highlight w:val="none"/>
        </w:rPr>
      </w:pPr>
      <w:r>
        <w:rPr>
          <w:rFonts w:hint="eastAsia" w:ascii="宋体" w:hAnsi="宋体" w:cs="宋体"/>
        </w:rPr>
        <w:t>18.4询</w:t>
      </w:r>
      <w:r>
        <w:rPr>
          <w:rFonts w:hint="eastAsia" w:ascii="宋体" w:hAnsi="宋体" w:cs="宋体"/>
          <w:highlight w:val="none"/>
        </w:rPr>
        <w:t>价小组对资格性和符合性审查合格的供应商报价进行修正和调整，得出最后评审价。</w:t>
      </w:r>
    </w:p>
    <w:p>
      <w:pPr>
        <w:adjustRightInd w:val="0"/>
        <w:snapToGrid w:val="0"/>
        <w:spacing w:line="360" w:lineRule="auto"/>
        <w:ind w:firstLine="420" w:firstLineChars="200"/>
        <w:rPr>
          <w:rFonts w:ascii="宋体" w:hAnsi="Times New Roman" w:cs="宋体"/>
        </w:rPr>
      </w:pPr>
      <w:r>
        <w:rPr>
          <w:rFonts w:hint="eastAsia" w:ascii="宋体" w:hAnsi="宋体" w:cs="宋体"/>
        </w:rPr>
        <w:t>18.5修正错误的原则如下：</w:t>
      </w:r>
    </w:p>
    <w:p>
      <w:pPr>
        <w:adjustRightInd w:val="0"/>
        <w:snapToGrid w:val="0"/>
        <w:spacing w:line="360" w:lineRule="auto"/>
        <w:ind w:firstLine="420" w:firstLineChars="200"/>
        <w:rPr>
          <w:rFonts w:ascii="宋体" w:hAnsi="Times New Roman" w:cs="宋体"/>
        </w:rPr>
      </w:pPr>
      <w:r>
        <w:rPr>
          <w:rFonts w:hint="eastAsia" w:ascii="宋体" w:hAnsi="宋体" w:cs="宋体"/>
        </w:rPr>
        <w:t>18.5.1响应文件中的大写金额和小写金额不一致的，以大写金额为准；</w:t>
      </w:r>
    </w:p>
    <w:p>
      <w:pPr>
        <w:adjustRightInd w:val="0"/>
        <w:snapToGrid w:val="0"/>
        <w:spacing w:line="360" w:lineRule="auto"/>
        <w:ind w:firstLine="420" w:firstLineChars="200"/>
        <w:rPr>
          <w:rFonts w:ascii="宋体" w:hAnsi="Times New Roman" w:cs="宋体"/>
        </w:rPr>
      </w:pPr>
      <w:r>
        <w:rPr>
          <w:rFonts w:hint="eastAsia" w:ascii="宋体" w:hAnsi="宋体" w:cs="宋体"/>
        </w:rPr>
        <w:t>18.5.2总价金额与按单价汇总金额不一致的，以单价金额计算结果为准；单价金额小数点有明显错位的，应以总价为准，并修改单价；</w:t>
      </w:r>
    </w:p>
    <w:p>
      <w:pPr>
        <w:adjustRightInd w:val="0"/>
        <w:snapToGrid w:val="0"/>
        <w:spacing w:line="360" w:lineRule="auto"/>
        <w:ind w:firstLine="420" w:firstLineChars="200"/>
        <w:rPr>
          <w:rFonts w:ascii="宋体" w:hAnsi="Times New Roman" w:cs="宋体"/>
        </w:rPr>
      </w:pPr>
      <w:r>
        <w:rPr>
          <w:rFonts w:hint="eastAsia" w:ascii="宋体" w:hAnsi="宋体" w:cs="宋体"/>
        </w:rPr>
        <w:t>18.5.3对不同文字文本响应文件的解释发生异议的，以中文文本为准；</w:t>
      </w:r>
    </w:p>
    <w:p>
      <w:pPr>
        <w:adjustRightInd w:val="0"/>
        <w:snapToGrid w:val="0"/>
        <w:spacing w:line="360" w:lineRule="auto"/>
        <w:ind w:firstLine="420" w:firstLineChars="200"/>
        <w:rPr>
          <w:rFonts w:ascii="宋体" w:hAnsi="Times New Roman" w:cs="宋体"/>
        </w:rPr>
      </w:pPr>
      <w:r>
        <w:rPr>
          <w:rFonts w:hint="eastAsia" w:ascii="宋体" w:hAnsi="宋体" w:cs="宋体"/>
        </w:rPr>
        <w:t>18.6询价小组将按照上述修正错误的方法调整报价，调整后的价格对供应商具有约束力。如果供应商不接受修正后价格，则其报价将被拒绝。</w:t>
      </w:r>
    </w:p>
    <w:p>
      <w:pPr>
        <w:adjustRightInd w:val="0"/>
        <w:snapToGrid w:val="0"/>
        <w:spacing w:line="360" w:lineRule="auto"/>
        <w:ind w:firstLine="420" w:firstLineChars="200"/>
        <w:rPr>
          <w:rFonts w:ascii="宋体" w:hAnsi="宋体" w:cs="宋体"/>
        </w:rPr>
      </w:pPr>
      <w:r>
        <w:rPr>
          <w:rFonts w:hint="eastAsia" w:ascii="宋体" w:hAnsi="宋体" w:cs="宋体"/>
        </w:rPr>
        <w:t>18.</w:t>
      </w:r>
      <w:r>
        <w:rPr>
          <w:rFonts w:ascii="宋体" w:hAnsi="宋体" w:cs="宋体"/>
        </w:rPr>
        <w:t>7</w:t>
      </w:r>
      <w:r>
        <w:rPr>
          <w:rFonts w:hint="eastAsia" w:ascii="宋体" w:hAnsi="宋体" w:cs="宋体"/>
        </w:rPr>
        <w:t>评审报告由询价小组全体人员签字认可。询价小组成员对评审报告有异议的，询价小组按照少数服从多数的原则推荐成交候选人，采购程序继续进行。对评审报告有异议的询价小组成员，应当在报告上签署不同意见并说明理由。询价小组成员拒绝在报告上签字又不书面说明其不同意见和理由的，视为同意评审报告。</w:t>
      </w:r>
    </w:p>
    <w:p>
      <w:pPr>
        <w:adjustRightInd w:val="0"/>
        <w:snapToGrid w:val="0"/>
        <w:spacing w:line="360" w:lineRule="auto"/>
        <w:ind w:firstLine="422" w:firstLineChars="200"/>
        <w:rPr>
          <w:rFonts w:ascii="宋体" w:hAnsi="宋体" w:cs="宋体"/>
          <w:b/>
          <w:bCs/>
        </w:rPr>
      </w:pPr>
      <w:bookmarkStart w:id="36" w:name="_Hlk42842751"/>
      <w:r>
        <w:rPr>
          <w:rFonts w:hint="eastAsia" w:ascii="宋体" w:hAnsi="宋体" w:cs="宋体"/>
          <w:b/>
          <w:bCs/>
        </w:rPr>
        <w:t>18.</w:t>
      </w:r>
      <w:r>
        <w:rPr>
          <w:rFonts w:ascii="宋体" w:hAnsi="宋体" w:cs="宋体"/>
          <w:b/>
          <w:bCs/>
        </w:rPr>
        <w:t>8</w:t>
      </w:r>
      <w:bookmarkEnd w:id="36"/>
      <w:r>
        <w:rPr>
          <w:rFonts w:hint="eastAsia" w:ascii="宋体" w:hAnsi="宋体" w:cs="宋体"/>
          <w:b/>
          <w:bCs/>
        </w:rPr>
        <w:t>有下列情形之一的，视为供应商串通</w:t>
      </w:r>
      <w:r>
        <w:rPr>
          <w:rFonts w:hint="eastAsia" w:ascii="宋体" w:hAnsi="宋体" w:cs="宋体"/>
          <w:b/>
          <w:bCs/>
          <w:lang w:val="en-US" w:eastAsia="zh-CN"/>
        </w:rPr>
        <w:t>参加</w:t>
      </w:r>
      <w:r>
        <w:rPr>
          <w:rFonts w:hint="eastAsia" w:ascii="宋体" w:hAnsi="宋体" w:cs="宋体"/>
          <w:b/>
          <w:bCs/>
        </w:rPr>
        <w:t>，其响应无效：</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r>
        <w:rPr>
          <w:rFonts w:hint="eastAsia" w:ascii="宋体" w:hAnsi="宋体" w:cs="宋体"/>
        </w:rPr>
        <w:t>不同供应商的响应文件由同一单位或者个人编制；</w:t>
      </w:r>
    </w:p>
    <w:p>
      <w:pPr>
        <w:adjustRightInd w:val="0"/>
        <w:snapToGrid w:val="0"/>
        <w:spacing w:line="360" w:lineRule="auto"/>
        <w:ind w:firstLine="420" w:firstLineChars="200"/>
        <w:rPr>
          <w:rFonts w:ascii="宋体" w:hAnsi="宋体" w:cs="宋体"/>
        </w:rPr>
      </w:pPr>
      <w:bookmarkStart w:id="37" w:name="_Hlk42842775"/>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bookmarkEnd w:id="37"/>
      <w:r>
        <w:rPr>
          <w:rFonts w:hint="eastAsia" w:ascii="宋体" w:hAnsi="宋体" w:cs="宋体"/>
        </w:rPr>
        <w:t>不同供应商委托同一单位或者个人办理询价报价事宜；</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r>
        <w:rPr>
          <w:rFonts w:hint="eastAsia" w:ascii="宋体" w:hAnsi="宋体" w:cs="宋体"/>
        </w:rPr>
        <w:t>不同供应商的响应文件载明的项目管理成员或者联系人员为同一人；</w:t>
      </w:r>
    </w:p>
    <w:p>
      <w:pPr>
        <w:adjustRightInd w:val="0"/>
        <w:snapToGrid w:val="0"/>
        <w:spacing w:line="360" w:lineRule="auto"/>
        <w:ind w:firstLine="420" w:firstLineChars="200"/>
        <w:rPr>
          <w:rFonts w:ascii="宋体" w:hAnsi="宋体" w:cs="宋体"/>
        </w:rPr>
      </w:pPr>
      <w:bookmarkStart w:id="38" w:name="_Hlk42842786"/>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bookmarkEnd w:id="38"/>
      <w:r>
        <w:rPr>
          <w:rFonts w:hint="eastAsia" w:ascii="宋体" w:hAnsi="宋体" w:cs="宋体"/>
        </w:rPr>
        <w:t>不同供应商的响应文件异常一致或者报价呈规律性差异；</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r>
        <w:rPr>
          <w:rFonts w:hint="eastAsia" w:ascii="宋体" w:hAnsi="宋体" w:cs="宋体"/>
        </w:rPr>
        <w:t>不同供应商的响应文件相互混装；</w:t>
      </w:r>
    </w:p>
    <w:p>
      <w:pPr>
        <w:adjustRightInd w:val="0"/>
        <w:snapToGrid w:val="0"/>
        <w:spacing w:line="360" w:lineRule="auto"/>
        <w:ind w:firstLine="422" w:firstLineChars="200"/>
        <w:rPr>
          <w:rFonts w:ascii="宋体" w:hAnsi="宋体" w:cs="宋体"/>
          <w:b/>
          <w:bCs/>
        </w:rPr>
      </w:pPr>
      <w:r>
        <w:rPr>
          <w:rFonts w:hint="eastAsia" w:ascii="宋体" w:hAnsi="宋体" w:cs="宋体"/>
          <w:b/>
          <w:bCs/>
        </w:rPr>
        <w:t>18.</w:t>
      </w:r>
      <w:r>
        <w:rPr>
          <w:rFonts w:ascii="宋体" w:hAnsi="宋体" w:cs="宋体"/>
          <w:b/>
          <w:bCs/>
        </w:rPr>
        <w:t>9</w:t>
      </w:r>
      <w:r>
        <w:rPr>
          <w:rFonts w:hint="eastAsia" w:ascii="宋体" w:hAnsi="宋体" w:cs="宋体"/>
          <w:b/>
          <w:bCs/>
        </w:rPr>
        <w:t>供应商存在下列情况之一的，报价无效</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r>
        <w:rPr>
          <w:rFonts w:hint="eastAsia" w:ascii="宋体" w:hAnsi="宋体" w:cs="宋体"/>
        </w:rPr>
        <w:t>响应文件未按询价文件要求签署、盖章的；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r>
        <w:rPr>
          <w:rFonts w:hint="eastAsia" w:ascii="宋体" w:hAnsi="宋体" w:cs="宋体"/>
        </w:rPr>
        <w:t>不具备询价文件中规定的资格要求的；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r>
        <w:rPr>
          <w:rFonts w:hint="eastAsia" w:ascii="宋体" w:hAnsi="宋体" w:cs="宋体"/>
        </w:rPr>
        <w:t>报价超过询价文件中规定的预算金额或者最高限价的；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r>
        <w:rPr>
          <w:rFonts w:hint="eastAsia" w:ascii="宋体" w:hAnsi="宋体" w:cs="宋体"/>
        </w:rPr>
        <w:t>响应文件含有采购人不能接受的附加条件的；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r>
        <w:rPr>
          <w:rFonts w:hint="eastAsia" w:ascii="宋体" w:hAnsi="宋体" w:cs="宋体"/>
        </w:rPr>
        <w:t>法律、法规和询价文件规定的其他无效情形。</w:t>
      </w:r>
    </w:p>
    <w:p>
      <w:pPr>
        <w:adjustRightInd w:val="0"/>
        <w:snapToGrid w:val="0"/>
        <w:spacing w:line="360" w:lineRule="auto"/>
        <w:ind w:firstLine="422" w:firstLineChars="200"/>
        <w:rPr>
          <w:rFonts w:ascii="宋体" w:hAnsi="Times New Roman" w:cs="宋体"/>
          <w:b/>
          <w:bCs/>
        </w:rPr>
      </w:pPr>
      <w:r>
        <w:rPr>
          <w:rFonts w:hint="eastAsia" w:ascii="宋体" w:hAnsi="宋体" w:cs="宋体"/>
          <w:b/>
          <w:bCs/>
        </w:rPr>
        <w:t>18.</w:t>
      </w:r>
      <w:r>
        <w:rPr>
          <w:rFonts w:ascii="宋体" w:hAnsi="宋体" w:cs="宋体"/>
          <w:b/>
          <w:bCs/>
        </w:rPr>
        <w:t>10</w:t>
      </w:r>
      <w:r>
        <w:rPr>
          <w:rFonts w:hint="eastAsia" w:ascii="宋体" w:hAnsi="宋体" w:cs="宋体"/>
          <w:b/>
          <w:bCs/>
        </w:rPr>
        <w:t>在询价采购中，出现下列情形之一的，应予</w:t>
      </w:r>
      <w:r>
        <w:rPr>
          <w:rFonts w:hint="eastAsia" w:ascii="宋体" w:hAnsi="宋体" w:cs="宋体"/>
          <w:b/>
          <w:bCs/>
          <w:lang w:val="en-US" w:eastAsia="zh-CN"/>
        </w:rPr>
        <w:t>作废</w:t>
      </w:r>
      <w:r>
        <w:rPr>
          <w:rFonts w:hint="eastAsia" w:ascii="宋体" w:hAnsi="宋体" w:cs="宋体"/>
          <w:b/>
          <w:bCs/>
        </w:rPr>
        <w:t>：</w:t>
      </w:r>
    </w:p>
    <w:p>
      <w:pPr>
        <w:tabs>
          <w:tab w:val="left" w:pos="851"/>
        </w:tabs>
        <w:adjustRightInd w:val="0"/>
        <w:snapToGrid w:val="0"/>
        <w:spacing w:line="360" w:lineRule="auto"/>
        <w:ind w:firstLine="420" w:firstLineChars="200"/>
        <w:rPr>
          <w:rFonts w:ascii="宋体" w:hAnsi="Times New Roman" w:cs="宋体"/>
        </w:rPr>
      </w:pPr>
      <w:bookmarkStart w:id="39" w:name="_Hlk42842654"/>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bookmarkEnd w:id="39"/>
      <w:r>
        <w:rPr>
          <w:rFonts w:hint="eastAsia" w:ascii="宋体" w:hAnsi="宋体" w:cs="宋体"/>
        </w:rPr>
        <w:t>符合专业条件的供应商或者对询价文件实质响应的供应商不足三家的（有特别说明除外）；</w:t>
      </w:r>
    </w:p>
    <w:p>
      <w:pPr>
        <w:tabs>
          <w:tab w:val="left" w:pos="851"/>
        </w:tabs>
        <w:adjustRightInd w:val="0"/>
        <w:snapToGrid w:val="0"/>
        <w:spacing w:line="360" w:lineRule="auto"/>
        <w:ind w:firstLine="420" w:firstLineChars="200"/>
        <w:rPr>
          <w:rFonts w:ascii="宋体" w:hAnsi="Times New Roman"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r>
        <w:rPr>
          <w:rFonts w:hint="eastAsia" w:ascii="宋体" w:hAnsi="宋体" w:cs="宋体"/>
        </w:rPr>
        <w:t>出现影响采购公正的违法、违规行为的；</w:t>
      </w:r>
    </w:p>
    <w:p>
      <w:pPr>
        <w:tabs>
          <w:tab w:val="left" w:pos="851"/>
        </w:tabs>
        <w:adjustRightInd w:val="0"/>
        <w:snapToGrid w:val="0"/>
        <w:spacing w:line="360" w:lineRule="auto"/>
        <w:ind w:firstLine="420" w:firstLineChars="200"/>
        <w:rPr>
          <w:rFonts w:ascii="宋体" w:hAnsi="Times New Roman" w:cs="宋体"/>
        </w:rPr>
      </w:pPr>
      <w:bookmarkStart w:id="40" w:name="_Hlk42842665"/>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bookmarkEnd w:id="40"/>
      <w:r>
        <w:rPr>
          <w:rFonts w:hint="eastAsia" w:ascii="宋体" w:hAnsi="宋体" w:cs="宋体"/>
        </w:rPr>
        <w:t>供应商的报价均超过了采购预算，采购人不能支付的；</w:t>
      </w:r>
    </w:p>
    <w:p>
      <w:pPr>
        <w:tabs>
          <w:tab w:val="left" w:pos="851"/>
        </w:tabs>
        <w:adjustRightInd w:val="0"/>
        <w:snapToGrid w:val="0"/>
        <w:spacing w:line="360" w:lineRule="auto"/>
        <w:ind w:firstLine="420" w:firstLineChars="200"/>
        <w:rPr>
          <w:rFonts w:ascii="宋体" w:hAnsi="Times New Roman"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r>
        <w:rPr>
          <w:rFonts w:hint="eastAsia" w:ascii="宋体" w:hAnsi="宋体" w:cs="宋体"/>
        </w:rPr>
        <w:t>因重大变故，采购任务取消的。</w:t>
      </w:r>
    </w:p>
    <w:p>
      <w:pPr>
        <w:tabs>
          <w:tab w:val="left" w:pos="851"/>
        </w:tabs>
        <w:adjustRightInd w:val="0"/>
        <w:snapToGrid w:val="0"/>
        <w:spacing w:line="360" w:lineRule="auto"/>
        <w:ind w:firstLine="420" w:firstLineChars="200"/>
        <w:rPr>
          <w:rFonts w:ascii="宋体" w:hAnsi="Times New Roman" w:cs="宋体"/>
        </w:rPr>
      </w:pPr>
      <w:bookmarkStart w:id="41" w:name="_Hlk42842680"/>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bookmarkEnd w:id="41"/>
      <w:r>
        <w:rPr>
          <w:rFonts w:hint="eastAsia" w:ascii="宋体" w:hAnsi="宋体" w:cs="宋体"/>
        </w:rPr>
        <w:t>响应文件未完全满足询价文件的实质性条款（即标注▲号条款）无负偏离的。</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19.评定成交的评审方法和标准</w:t>
      </w:r>
    </w:p>
    <w:p>
      <w:pPr>
        <w:adjustRightInd w:val="0"/>
        <w:snapToGrid w:val="0"/>
        <w:spacing w:line="360" w:lineRule="auto"/>
        <w:ind w:firstLine="420" w:firstLineChars="200"/>
        <w:rPr>
          <w:rFonts w:ascii="宋体" w:hAnsi="Times New Roman" w:cs="宋体"/>
          <w:b/>
          <w:color w:val="FF0000"/>
        </w:rPr>
      </w:pPr>
      <w:r>
        <w:rPr>
          <w:rFonts w:hint="eastAsia" w:ascii="宋体" w:hAnsi="宋体" w:cs="宋体"/>
        </w:rPr>
        <w:t>19.1本项目采用最低评</w:t>
      </w:r>
      <w:r>
        <w:rPr>
          <w:rFonts w:hint="eastAsia" w:ascii="宋体" w:hAnsi="宋体" w:cs="宋体"/>
          <w:lang w:val="en-US" w:eastAsia="zh-CN"/>
        </w:rPr>
        <w:t>审</w:t>
      </w:r>
      <w:r>
        <w:rPr>
          <w:rFonts w:hint="eastAsia" w:ascii="宋体" w:hAnsi="宋体" w:cs="宋体"/>
        </w:rPr>
        <w:t>价法确定成交供应商，即在质量和服务均能满足询价文件实质性响应要求前提下，提出最低报价（</w:t>
      </w:r>
      <w:r>
        <w:rPr>
          <w:rFonts w:hint="eastAsia" w:ascii="宋体" w:hAnsi="宋体" w:cs="宋体"/>
          <w:lang w:eastAsia="zh-TW"/>
        </w:rPr>
        <w:t>指修正及价格扣除后的</w:t>
      </w:r>
      <w:r>
        <w:rPr>
          <w:rFonts w:hint="eastAsia" w:ascii="宋体" w:hAnsi="宋体" w:cs="宋体"/>
        </w:rPr>
        <w:t>价格，即评标</w:t>
      </w:r>
      <w:r>
        <w:rPr>
          <w:rFonts w:hint="eastAsia" w:ascii="宋体" w:hAnsi="宋体" w:cs="宋体"/>
          <w:lang w:eastAsia="zh-TW"/>
        </w:rPr>
        <w:t>价</w:t>
      </w:r>
      <w:r>
        <w:rPr>
          <w:rFonts w:hint="eastAsia" w:ascii="宋体" w:hAnsi="宋体" w:cs="宋体"/>
        </w:rPr>
        <w:t>）的供应商作为成交供应商。按照最后报</w:t>
      </w:r>
      <w:r>
        <w:rPr>
          <w:rFonts w:hint="eastAsia" w:ascii="宋体" w:hAnsi="宋体" w:cs="宋体"/>
          <w:lang w:eastAsia="zh-TW"/>
        </w:rPr>
        <w:t>价</w:t>
      </w:r>
      <w:r>
        <w:rPr>
          <w:rFonts w:hint="eastAsia" w:ascii="宋体" w:hAnsi="宋体" w:cs="宋体"/>
        </w:rPr>
        <w:t>由低到高顺序推荐三名成交候选人。</w:t>
      </w:r>
    </w:p>
    <w:p>
      <w:pPr>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19.2询价小组认为供应商的报价或者某些分项报价明显不合理或者低于成本，有可能影响服务质量和不能诚信履约的，供应商应当在询价小组发出报价澄清要求的时间内提供书面文件予以说明，并提交由供应商授权代表签字的相关证明文件，否则，以无效报价处理。</w:t>
      </w:r>
    </w:p>
    <w:p>
      <w:pPr>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19.3</w:t>
      </w:r>
      <w:r>
        <w:rPr>
          <w:rFonts w:hint="eastAsia" w:ascii="宋体" w:hAnsi="宋体" w:cs="宋体"/>
          <w:color w:val="000000"/>
        </w:rPr>
        <w:t>评审价相同的，按下列顺序比较确定：</w:t>
      </w:r>
      <w:r>
        <w:rPr>
          <w:rFonts w:hint="eastAsia" w:ascii="宋体" w:hAnsi="宋体" w:cs="宋体"/>
        </w:rPr>
        <w:t>“▲”条款响应一览表</w:t>
      </w:r>
      <w:r>
        <w:rPr>
          <w:rFonts w:hint="eastAsia" w:ascii="宋体" w:hAnsi="宋体" w:cs="宋体"/>
          <w:lang w:val="en-US" w:eastAsia="zh-CN"/>
        </w:rPr>
        <w:t>有正偏离或正偏离项多</w:t>
      </w:r>
      <w:r>
        <w:rPr>
          <w:rFonts w:hint="eastAsia" w:ascii="宋体" w:hAnsi="宋体" w:cs="宋体"/>
        </w:rPr>
        <w:t>；如以上都相同的，名次由</w:t>
      </w:r>
      <w:r>
        <w:rPr>
          <w:rFonts w:hint="eastAsia" w:ascii="宋体" w:hAnsi="宋体" w:cs="宋体"/>
          <w:lang w:val="en-US" w:eastAsia="zh-CN"/>
        </w:rPr>
        <w:t>询价小组</w:t>
      </w:r>
      <w:r>
        <w:rPr>
          <w:rFonts w:hint="eastAsia" w:ascii="宋体" w:hAnsi="宋体" w:cs="宋体"/>
        </w:rPr>
        <w:t>抽签确定。</w:t>
      </w:r>
      <w:r>
        <w:rPr>
          <w:rFonts w:hint="eastAsia" w:ascii="宋体" w:hAnsi="宋体" w:cs="宋体"/>
          <w:lang w:val="en-US" w:eastAsia="zh-CN"/>
        </w:rPr>
        <w:t>询价小组</w:t>
      </w:r>
      <w:r>
        <w:rPr>
          <w:rFonts w:hint="eastAsia" w:ascii="宋体" w:hAnsi="宋体" w:cs="宋体"/>
          <w:lang w:eastAsia="zh-TW"/>
        </w:rPr>
        <w:t>认为，排在前面的</w:t>
      </w:r>
      <w:r>
        <w:rPr>
          <w:rFonts w:hint="eastAsia" w:ascii="宋体" w:hAnsi="宋体" w:cs="宋体"/>
        </w:rPr>
        <w:t>成交</w:t>
      </w:r>
      <w:r>
        <w:rPr>
          <w:rFonts w:hint="eastAsia" w:ascii="宋体" w:hAnsi="宋体" w:cs="宋体"/>
          <w:lang w:eastAsia="zh-TW"/>
        </w:rPr>
        <w:t>候选人的最低投标价或者某些分项报价明显不合理或者低于成本，有可能影响商品质量和不能诚信履约的，应当要求其在规定的期限内提供书面文件予以解释说明，并提交相关证明材料</w:t>
      </w:r>
      <w:r>
        <w:rPr>
          <w:rFonts w:hint="eastAsia" w:ascii="宋体" w:hAnsi="宋体" w:cs="宋体"/>
        </w:rPr>
        <w:t>，</w:t>
      </w:r>
      <w:r>
        <w:rPr>
          <w:rFonts w:hint="eastAsia" w:ascii="宋体" w:hAnsi="宋体" w:cs="宋体"/>
          <w:lang w:eastAsia="zh-TW"/>
        </w:rPr>
        <w:t>否则</w:t>
      </w:r>
      <w:r>
        <w:rPr>
          <w:rFonts w:hint="eastAsia" w:ascii="宋体" w:hAnsi="宋体" w:cs="宋体"/>
          <w:lang w:val="en-US" w:eastAsia="zh-CN"/>
        </w:rPr>
        <w:t>询价小组</w:t>
      </w:r>
      <w:r>
        <w:rPr>
          <w:rFonts w:hint="eastAsia" w:ascii="宋体" w:hAnsi="宋体" w:cs="宋体"/>
          <w:lang w:eastAsia="zh-TW"/>
        </w:rPr>
        <w:t>可以取消该供应商的</w:t>
      </w:r>
      <w:r>
        <w:rPr>
          <w:rFonts w:hint="eastAsia" w:ascii="宋体" w:hAnsi="宋体" w:cs="宋体"/>
        </w:rPr>
        <w:t>成交</w:t>
      </w:r>
      <w:r>
        <w:rPr>
          <w:rFonts w:hint="eastAsia" w:ascii="宋体" w:hAnsi="宋体" w:cs="宋体"/>
          <w:lang w:eastAsia="zh-TW"/>
        </w:rPr>
        <w:t>候选资格，按顺序由排在后面的</w:t>
      </w:r>
      <w:r>
        <w:rPr>
          <w:rFonts w:hint="eastAsia" w:ascii="宋体" w:hAnsi="宋体" w:cs="宋体"/>
        </w:rPr>
        <w:t>成交</w:t>
      </w:r>
      <w:r>
        <w:rPr>
          <w:rFonts w:hint="eastAsia" w:ascii="宋体" w:hAnsi="宋体" w:cs="宋体"/>
          <w:lang w:eastAsia="zh-TW"/>
        </w:rPr>
        <w:t>候选人递补，以此类推。</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20.确定成交结果</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20.1成交供应商确定后，采购人将在</w:t>
      </w:r>
      <w:r>
        <w:rPr>
          <w:rFonts w:hint="eastAsia" w:ascii="宋体" w:hAnsi="宋体" w:cs="宋体"/>
          <w:u w:val="single"/>
        </w:rPr>
        <w:t>南宁市人力资源和社会保障局网站及广西南宁技师学院网站</w:t>
      </w:r>
      <w:r>
        <w:rPr>
          <w:rFonts w:hint="eastAsia" w:ascii="宋体" w:hAnsi="宋体" w:cs="宋体"/>
        </w:rPr>
        <w:t>上发布成交结果公告。</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20.2由采购人向成交供应商发出《成交通知书》。</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20.3成交供应商放弃</w:t>
      </w:r>
      <w:r>
        <w:rPr>
          <w:rFonts w:hint="eastAsia" w:ascii="宋体" w:hAnsi="宋体" w:cs="宋体"/>
          <w:lang w:val="en-US" w:eastAsia="zh-CN"/>
        </w:rPr>
        <w:t>成交</w:t>
      </w:r>
      <w:r>
        <w:rPr>
          <w:rFonts w:hint="eastAsia" w:ascii="宋体" w:hAnsi="宋体" w:cs="宋体"/>
        </w:rPr>
        <w:t>、不按要求与采购人签订采购合同、因不可抗拒力或自身原因不能履行采购合同的，采购人可以与排位在成交供应商之后第一位的成交候选人签订采购合同，以此类推</w:t>
      </w:r>
      <w:r>
        <w:rPr>
          <w:rFonts w:hint="eastAsia" w:ascii="宋体" w:hAnsi="宋体" w:cs="宋体"/>
          <w:color w:val="3366FF"/>
        </w:rPr>
        <w:t>，</w:t>
      </w:r>
      <w:r>
        <w:rPr>
          <w:rFonts w:hint="eastAsia" w:ascii="宋体" w:hAnsi="宋体" w:cs="宋体"/>
        </w:rPr>
        <w:t>也可以重新开展采购活动。拒绝签订采购合同的成交供应商不得参加对该项目重新开展的采购活动。</w:t>
      </w:r>
    </w:p>
    <w:p>
      <w:pPr>
        <w:autoSpaceDE w:val="0"/>
        <w:autoSpaceDN w:val="0"/>
        <w:adjustRightInd w:val="0"/>
        <w:snapToGrid w:val="0"/>
        <w:spacing w:line="360" w:lineRule="auto"/>
        <w:ind w:firstLine="413" w:firstLineChars="196"/>
        <w:outlineLvl w:val="0"/>
        <w:rPr>
          <w:rFonts w:ascii="宋体" w:hAnsi="宋体" w:cs="宋体"/>
          <w:b/>
        </w:rPr>
      </w:pPr>
      <w:bookmarkStart w:id="42" w:name="_Toc433127783"/>
      <w:bookmarkStart w:id="43" w:name="_Toc31343"/>
      <w:r>
        <w:rPr>
          <w:rFonts w:hint="eastAsia" w:ascii="宋体" w:hAnsi="宋体" w:cs="宋体"/>
          <w:b/>
        </w:rPr>
        <w:t>21.询问、质疑、投诉</w:t>
      </w:r>
      <w:bookmarkEnd w:id="42"/>
      <w:bookmarkEnd w:id="43"/>
    </w:p>
    <w:p>
      <w:pPr>
        <w:autoSpaceDE w:val="0"/>
        <w:autoSpaceDN w:val="0"/>
        <w:adjustRightInd w:val="0"/>
        <w:snapToGrid w:val="0"/>
        <w:spacing w:line="360" w:lineRule="auto"/>
        <w:ind w:firstLine="413" w:firstLineChars="196"/>
        <w:outlineLvl w:val="0"/>
        <w:rPr>
          <w:rFonts w:ascii="宋体" w:hAnsi="Times New Roman" w:cs="宋体"/>
          <w:b/>
        </w:rPr>
      </w:pPr>
      <w:bookmarkStart w:id="44" w:name="_Toc1886"/>
      <w:r>
        <w:rPr>
          <w:rFonts w:hint="eastAsia" w:ascii="宋体" w:hAnsi="宋体" w:cs="宋体"/>
          <w:b/>
        </w:rPr>
        <w:t>21.1询问</w:t>
      </w:r>
      <w:bookmarkEnd w:id="44"/>
    </w:p>
    <w:p>
      <w:pPr>
        <w:autoSpaceDE w:val="0"/>
        <w:autoSpaceDN w:val="0"/>
        <w:adjustRightInd w:val="0"/>
        <w:snapToGrid w:val="0"/>
        <w:spacing w:line="360" w:lineRule="auto"/>
        <w:ind w:firstLine="411" w:firstLineChars="196"/>
        <w:outlineLvl w:val="0"/>
        <w:rPr>
          <w:rFonts w:ascii="宋体" w:hAnsi="Times New Roman" w:cs="宋体"/>
          <w:b/>
        </w:rPr>
      </w:pPr>
      <w:bookmarkStart w:id="45" w:name="_Toc5581"/>
      <w:r>
        <w:rPr>
          <w:rFonts w:hint="eastAsia" w:ascii="宋体" w:hAnsi="宋体" w:cs="宋体"/>
        </w:rPr>
        <w:t>21.1.1供应商对采购活动事项有疑问的，可以向采购单位提出询问，询问可以口头方式提出，也可以书面方式提出。</w:t>
      </w:r>
      <w:bookmarkEnd w:id="45"/>
    </w:p>
    <w:p>
      <w:pPr>
        <w:tabs>
          <w:tab w:val="left" w:pos="993"/>
        </w:tabs>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21.1.2采购人在收到供应商询问后三个工作日内作出答复。</w:t>
      </w:r>
    </w:p>
    <w:p>
      <w:pPr>
        <w:autoSpaceDE w:val="0"/>
        <w:autoSpaceDN w:val="0"/>
        <w:adjustRightInd w:val="0"/>
        <w:snapToGrid w:val="0"/>
        <w:spacing w:line="360" w:lineRule="auto"/>
        <w:ind w:firstLine="413" w:firstLineChars="196"/>
        <w:outlineLvl w:val="0"/>
        <w:rPr>
          <w:rFonts w:ascii="宋体" w:hAnsi="宋体" w:cs="宋体"/>
          <w:b/>
        </w:rPr>
      </w:pPr>
      <w:bookmarkStart w:id="46" w:name="_Toc29058"/>
      <w:r>
        <w:rPr>
          <w:rFonts w:hint="eastAsia" w:ascii="宋体" w:hAnsi="宋体" w:cs="宋体"/>
          <w:b/>
        </w:rPr>
        <w:t>21.2质疑</w:t>
      </w:r>
      <w:bookmarkEnd w:id="46"/>
    </w:p>
    <w:p>
      <w:pPr>
        <w:autoSpaceDE w:val="0"/>
        <w:autoSpaceDN w:val="0"/>
        <w:adjustRightInd w:val="0"/>
        <w:snapToGrid w:val="0"/>
        <w:spacing w:line="360" w:lineRule="auto"/>
        <w:ind w:firstLine="411" w:firstLineChars="196"/>
        <w:outlineLvl w:val="0"/>
        <w:rPr>
          <w:rFonts w:ascii="宋体" w:hAnsi="宋体" w:cs="宋体"/>
        </w:rPr>
      </w:pPr>
      <w:bookmarkStart w:id="47" w:name="_Toc5451"/>
      <w:r>
        <w:rPr>
          <w:rFonts w:hint="eastAsia" w:ascii="宋体" w:hAnsi="宋体" w:cs="宋体"/>
        </w:rPr>
        <w:t>21.2.1质疑期限：</w:t>
      </w:r>
      <w:bookmarkEnd w:id="47"/>
    </w:p>
    <w:p>
      <w:pPr>
        <w:autoSpaceDE w:val="0"/>
        <w:autoSpaceDN w:val="0"/>
        <w:adjustRightInd w:val="0"/>
        <w:snapToGrid w:val="0"/>
        <w:spacing w:line="360" w:lineRule="auto"/>
        <w:ind w:firstLine="411" w:firstLineChars="196"/>
        <w:outlineLvl w:val="0"/>
        <w:rPr>
          <w:rFonts w:ascii="宋体" w:hAnsi="宋体" w:cs="宋体"/>
        </w:rPr>
      </w:pPr>
      <w:bookmarkStart w:id="48" w:name="_Toc24930"/>
      <w:r>
        <w:rPr>
          <w:rFonts w:hint="eastAsia" w:ascii="宋体" w:hAnsi="宋体" w:cs="宋体"/>
        </w:rPr>
        <w:t>21.2.1.1供应商认为采购文件的内容损害其权益的，应在收到采购文件之日或者采购文件公告期届满之日起七个工作日内。</w:t>
      </w:r>
      <w:bookmarkEnd w:id="48"/>
    </w:p>
    <w:p>
      <w:pPr>
        <w:autoSpaceDE w:val="0"/>
        <w:autoSpaceDN w:val="0"/>
        <w:adjustRightInd w:val="0"/>
        <w:snapToGrid w:val="0"/>
        <w:spacing w:line="360" w:lineRule="auto"/>
        <w:ind w:firstLine="411" w:firstLineChars="196"/>
        <w:outlineLvl w:val="0"/>
        <w:rPr>
          <w:rFonts w:ascii="宋体" w:hAnsi="宋体" w:cs="宋体"/>
        </w:rPr>
      </w:pPr>
      <w:bookmarkStart w:id="49" w:name="_Toc561"/>
      <w:r>
        <w:rPr>
          <w:rFonts w:hint="eastAsia" w:ascii="宋体" w:hAnsi="宋体" w:cs="宋体"/>
        </w:rPr>
        <w:t>21.2.1.2供应商认为采购过程损害其权益的，应在各采购程序环节结束之日起七个工作日内。</w:t>
      </w:r>
      <w:bookmarkEnd w:id="49"/>
    </w:p>
    <w:p>
      <w:pPr>
        <w:autoSpaceDE w:val="0"/>
        <w:autoSpaceDN w:val="0"/>
        <w:adjustRightInd w:val="0"/>
        <w:snapToGrid w:val="0"/>
        <w:spacing w:line="360" w:lineRule="auto"/>
        <w:ind w:firstLine="411" w:firstLineChars="196"/>
        <w:outlineLvl w:val="0"/>
        <w:rPr>
          <w:rFonts w:ascii="宋体" w:hAnsi="宋体" w:cs="宋体"/>
        </w:rPr>
      </w:pPr>
      <w:bookmarkStart w:id="50" w:name="_Toc20026"/>
      <w:r>
        <w:rPr>
          <w:rFonts w:hint="eastAsia" w:ascii="宋体" w:hAnsi="宋体" w:cs="宋体"/>
        </w:rPr>
        <w:t>21.2.1.3供应商认为成交结果损害其权益的，应在成交结果公告期限届满之日起七个工作日内。</w:t>
      </w:r>
      <w:bookmarkEnd w:id="50"/>
    </w:p>
    <w:p>
      <w:pPr>
        <w:autoSpaceDE w:val="0"/>
        <w:autoSpaceDN w:val="0"/>
        <w:adjustRightInd w:val="0"/>
        <w:snapToGrid w:val="0"/>
        <w:spacing w:line="360" w:lineRule="auto"/>
        <w:ind w:firstLine="411" w:firstLineChars="196"/>
        <w:outlineLvl w:val="0"/>
        <w:rPr>
          <w:rFonts w:ascii="宋体" w:hAnsi="宋体" w:cs="宋体"/>
        </w:rPr>
      </w:pPr>
      <w:bookmarkStart w:id="51" w:name="_Toc26033"/>
      <w:r>
        <w:rPr>
          <w:rFonts w:hint="eastAsia" w:ascii="宋体" w:hAnsi="宋体" w:cs="宋体"/>
        </w:rPr>
        <w:t>21.2.2提交要求：</w:t>
      </w:r>
      <w:bookmarkEnd w:id="51"/>
    </w:p>
    <w:p>
      <w:pPr>
        <w:autoSpaceDE w:val="0"/>
        <w:autoSpaceDN w:val="0"/>
        <w:adjustRightInd w:val="0"/>
        <w:snapToGrid w:val="0"/>
        <w:spacing w:line="360" w:lineRule="auto"/>
        <w:ind w:firstLine="411" w:firstLineChars="196"/>
        <w:outlineLvl w:val="0"/>
        <w:rPr>
          <w:rFonts w:ascii="宋体" w:hAnsi="宋体" w:cs="宋体"/>
        </w:rPr>
      </w:pPr>
      <w:bookmarkStart w:id="52" w:name="_Toc22473"/>
      <w:r>
        <w:rPr>
          <w:rFonts w:hint="eastAsia" w:ascii="宋体" w:hAnsi="宋体" w:cs="宋体"/>
        </w:rPr>
        <w:t>21.2.2.1以书面形式（加盖供应商公章）向采购人提出质疑，供应商以电话、传真或电邮形式提交的质疑属于无效质疑。</w:t>
      </w:r>
      <w:bookmarkEnd w:id="52"/>
    </w:p>
    <w:p>
      <w:pPr>
        <w:autoSpaceDE w:val="0"/>
        <w:autoSpaceDN w:val="0"/>
        <w:adjustRightInd w:val="0"/>
        <w:snapToGrid w:val="0"/>
        <w:spacing w:line="360" w:lineRule="auto"/>
        <w:ind w:firstLine="411" w:firstLineChars="196"/>
        <w:outlineLvl w:val="0"/>
        <w:rPr>
          <w:rFonts w:ascii="宋体" w:hAnsi="宋体" w:cs="宋体"/>
        </w:rPr>
      </w:pPr>
      <w:bookmarkStart w:id="53" w:name="_Toc5754"/>
      <w:r>
        <w:rPr>
          <w:rFonts w:hint="eastAsia" w:ascii="宋体" w:hAnsi="宋体" w:cs="宋体"/>
        </w:rPr>
        <w:t>21.2.2.2质疑书内容：应包括具体的质疑事项、事实依据及相关确凿的证明材料、明确的请求、供应商名称及地址、授权代表姓名及其联系电话、有效通讯电子邮箱、质疑时间。质疑书应当署名并由法定代表人或授权代表签字并加盖公章。供应商递交质疑书时需提供质疑书原件、供应商营业执照复印件（加盖公章）、法定代表人证明书、法定代表人授权委托书（应载明委托代理的具体权限及事项。全权委托的，应包含“全权代表我司处理‘代为递交、签收质疑文件，并对与质疑事项相关问题作出解释’及其他一切质疑相关事宜”）及授权代表身份证复印件（原件核验）。</w:t>
      </w:r>
      <w:bookmarkEnd w:id="53"/>
    </w:p>
    <w:p>
      <w:pPr>
        <w:autoSpaceDE w:val="0"/>
        <w:autoSpaceDN w:val="0"/>
        <w:adjustRightInd w:val="0"/>
        <w:snapToGrid w:val="0"/>
        <w:spacing w:line="360" w:lineRule="auto"/>
        <w:ind w:firstLine="411" w:firstLineChars="196"/>
        <w:outlineLvl w:val="0"/>
        <w:rPr>
          <w:rFonts w:ascii="宋体" w:hAnsi="宋体" w:cs="宋体"/>
        </w:rPr>
      </w:pPr>
      <w:bookmarkStart w:id="54" w:name="_Toc8235"/>
      <w:r>
        <w:rPr>
          <w:rFonts w:hint="eastAsia" w:ascii="宋体" w:hAnsi="宋体" w:cs="宋体"/>
        </w:rPr>
        <w:t>21.2.2.3供应商质疑应当有明确的请求和必要的证明材料，捏造事实、提供虚假材料或者以非法手段取得证明材料不能作为质疑的证明材料。</w:t>
      </w:r>
      <w:r>
        <w:rPr>
          <w:rFonts w:hint="eastAsia" w:ascii="宋体" w:hAnsi="宋体" w:cs="宋体"/>
        </w:rPr>
        <w:br w:type="textWrapping"/>
      </w:r>
      <w:r>
        <w:rPr>
          <w:rFonts w:hint="eastAsia" w:ascii="宋体" w:hAnsi="宋体" w:cs="宋体"/>
        </w:rPr>
        <w:t xml:space="preserve">    21.2.2.4采购人在收到供应商的书面质疑后7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供应商领取书面质疑答复时，应由授权代表出示身份证原件供核验。</w:t>
      </w:r>
      <w:bookmarkEnd w:id="54"/>
    </w:p>
    <w:p>
      <w:pPr>
        <w:autoSpaceDE w:val="0"/>
        <w:autoSpaceDN w:val="0"/>
        <w:adjustRightInd w:val="0"/>
        <w:snapToGrid w:val="0"/>
        <w:spacing w:line="360" w:lineRule="auto"/>
        <w:ind w:firstLine="411" w:firstLineChars="196"/>
        <w:outlineLvl w:val="0"/>
        <w:rPr>
          <w:rFonts w:ascii="宋体" w:hAnsi="宋体" w:cs="宋体"/>
        </w:rPr>
      </w:pPr>
      <w:bookmarkStart w:id="55" w:name="_Toc25532"/>
      <w:r>
        <w:rPr>
          <w:rFonts w:hint="eastAsia" w:ascii="宋体" w:hAnsi="宋体" w:cs="宋体"/>
        </w:rPr>
        <w:t>21.2.3对于捏造事实、滥用维权扰乱采购秩序的恶意质疑者或举证不全查无实据被驳回次数在一年内达三次以上，将纳入不良行为记录名单并承担相应的法律责任。</w:t>
      </w:r>
      <w:bookmarkEnd w:id="55"/>
    </w:p>
    <w:p>
      <w:pPr>
        <w:tabs>
          <w:tab w:val="left" w:pos="1272"/>
        </w:tabs>
        <w:spacing w:line="360" w:lineRule="auto"/>
        <w:ind w:firstLine="413" w:firstLineChars="196"/>
        <w:rPr>
          <w:rFonts w:ascii="宋体" w:hAnsi="Times New Roman" w:cs="宋体"/>
          <w:b/>
          <w:color w:val="000000"/>
        </w:rPr>
      </w:pPr>
      <w:r>
        <w:rPr>
          <w:rFonts w:hint="eastAsia" w:ascii="宋体" w:hAnsi="宋体" w:cs="宋体"/>
          <w:b/>
          <w:color w:val="000000"/>
        </w:rPr>
        <w:t>21.3投诉</w:t>
      </w:r>
    </w:p>
    <w:p>
      <w:pPr>
        <w:tabs>
          <w:tab w:val="left" w:pos="1272"/>
        </w:tabs>
        <w:spacing w:line="360" w:lineRule="auto"/>
        <w:ind w:firstLine="420" w:firstLineChars="200"/>
        <w:rPr>
          <w:rFonts w:ascii="宋体" w:hAnsi="Times New Roman" w:cs="宋体"/>
          <w:color w:val="000000"/>
        </w:rPr>
      </w:pPr>
      <w:r>
        <w:rPr>
          <w:rFonts w:hint="eastAsia" w:ascii="宋体" w:hAnsi="宋体" w:cs="宋体"/>
          <w:color w:val="000000"/>
        </w:rPr>
        <w:t>质疑供应商对采购单位的质疑答复不满意，或采购单位未在规定期限内作出答复的，可以在答复期满后十五个工作日内向同级监管部门提出投诉。</w:t>
      </w:r>
    </w:p>
    <w:p>
      <w:pPr>
        <w:autoSpaceDE w:val="0"/>
        <w:autoSpaceDN w:val="0"/>
        <w:adjustRightInd w:val="0"/>
        <w:snapToGrid w:val="0"/>
        <w:spacing w:line="360" w:lineRule="auto"/>
        <w:jc w:val="left"/>
        <w:rPr>
          <w:rFonts w:ascii="宋体" w:hAnsi="Times New Roman" w:cs="宋体"/>
        </w:rPr>
      </w:pPr>
    </w:p>
    <w:p>
      <w:pPr>
        <w:pStyle w:val="3"/>
        <w:adjustRightInd w:val="0"/>
        <w:snapToGrid w:val="0"/>
        <w:spacing w:line="360" w:lineRule="auto"/>
        <w:jc w:val="center"/>
        <w:rPr>
          <w:sz w:val="30"/>
          <w:szCs w:val="30"/>
        </w:rPr>
      </w:pPr>
      <w:bookmarkStart w:id="56" w:name="_Toc453493037"/>
      <w:bookmarkStart w:id="57" w:name="_Toc448133314"/>
      <w:bookmarkStart w:id="58" w:name="_Toc8524"/>
      <w:bookmarkStart w:id="59" w:name="_Toc454458058"/>
      <w:r>
        <w:rPr>
          <w:rFonts w:hint="eastAsia" w:cs="宋体"/>
          <w:sz w:val="30"/>
          <w:szCs w:val="30"/>
        </w:rPr>
        <w:t>六、授予合同</w:t>
      </w:r>
      <w:bookmarkEnd w:id="56"/>
      <w:bookmarkEnd w:id="57"/>
      <w:bookmarkEnd w:id="58"/>
      <w:bookmarkEnd w:id="59"/>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22.合同的订立</w:t>
      </w:r>
    </w:p>
    <w:p>
      <w:pPr>
        <w:adjustRightInd w:val="0"/>
        <w:snapToGrid w:val="0"/>
        <w:spacing w:line="360" w:lineRule="auto"/>
        <w:ind w:firstLine="411" w:firstLineChars="196"/>
        <w:outlineLvl w:val="2"/>
        <w:rPr>
          <w:rFonts w:ascii="宋体" w:hAnsi="Times New Roman" w:cs="宋体"/>
          <w:b/>
        </w:rPr>
      </w:pPr>
      <w:r>
        <w:rPr>
          <w:rFonts w:hint="eastAsia" w:ascii="宋体" w:hAnsi="宋体" w:cs="宋体"/>
          <w:lang w:eastAsia="zh-TW"/>
        </w:rPr>
        <w:t>采购人</w:t>
      </w:r>
      <w:r>
        <w:rPr>
          <w:rFonts w:hint="eastAsia" w:ascii="宋体" w:hAnsi="宋体" w:cs="宋体"/>
        </w:rPr>
        <w:t>应当</w:t>
      </w:r>
      <w:r>
        <w:rPr>
          <w:rFonts w:hint="eastAsia" w:ascii="宋体" w:hAnsi="宋体" w:cs="宋体"/>
          <w:lang w:eastAsia="zh-TW"/>
        </w:rPr>
        <w:t>自成交通知书发出之日起三十日内签订采购合同，但不得超出询价文件和成交供应商响应文件的范围、</w:t>
      </w:r>
      <w:r>
        <w:rPr>
          <w:rFonts w:hint="eastAsia" w:ascii="宋体" w:hAnsi="宋体" w:cs="宋体"/>
        </w:rPr>
        <w:t>也不得再行订立背离询价文件确定的合同文本以及实质性内容的协议。</w:t>
      </w:r>
    </w:p>
    <w:p>
      <w:pPr>
        <w:adjustRightInd w:val="0"/>
        <w:snapToGrid w:val="0"/>
        <w:spacing w:line="360" w:lineRule="auto"/>
        <w:ind w:firstLine="413" w:firstLineChars="196"/>
        <w:outlineLvl w:val="2"/>
        <w:rPr>
          <w:rFonts w:ascii="宋体" w:hAnsi="Times New Roman" w:cs="宋体"/>
          <w:b/>
        </w:rPr>
      </w:pPr>
      <w:bookmarkStart w:id="60" w:name="_Toc378586990"/>
      <w:r>
        <w:rPr>
          <w:rFonts w:hint="eastAsia" w:ascii="宋体" w:hAnsi="宋体" w:cs="宋体"/>
          <w:b/>
        </w:rPr>
        <w:t>23.合同的履行</w:t>
      </w:r>
      <w:bookmarkEnd w:id="60"/>
    </w:p>
    <w:p>
      <w:pPr>
        <w:autoSpaceDE w:val="0"/>
        <w:autoSpaceDN w:val="0"/>
        <w:adjustRightInd w:val="0"/>
        <w:snapToGrid w:val="0"/>
        <w:spacing w:line="360" w:lineRule="auto"/>
        <w:ind w:firstLine="420" w:firstLineChars="200"/>
        <w:jc w:val="left"/>
        <w:rPr>
          <w:rFonts w:ascii="宋体" w:hAnsi="Times New Roman" w:cs="宋体"/>
          <w:highlight w:val="yellow"/>
        </w:rPr>
      </w:pPr>
      <w:r>
        <w:rPr>
          <w:rFonts w:hint="eastAsia" w:ascii="宋体" w:hAnsi="宋体" w:cs="宋体"/>
          <w:lang w:eastAsia="zh-TW"/>
        </w:rPr>
        <w:t>采购合同订立后，合同各方不得擅自变更、中止或者终止合同。采购合同需要变更的，采购人应将有关合同变更内容以书面形式进行备案；因特殊情况需要中止或终止合同的，</w:t>
      </w:r>
      <w:r>
        <w:rPr>
          <w:rFonts w:hint="eastAsia" w:ascii="宋体" w:hAnsi="宋体" w:cs="宋体"/>
          <w:highlight w:val="none"/>
          <w:lang w:eastAsia="zh-TW"/>
        </w:rPr>
        <w:t>采购人应将中止或终止合同的理由以及相应措施，以书面形式报广西南宁技师学院党委会。</w:t>
      </w:r>
    </w:p>
    <w:p>
      <w:pPr>
        <w:spacing w:line="360" w:lineRule="auto"/>
        <w:rPr>
          <w:rFonts w:cs="Times New Roman"/>
          <w:b/>
          <w:bCs/>
          <w:sz w:val="24"/>
          <w:szCs w:val="24"/>
        </w:rPr>
        <w:sectPr>
          <w:pgSz w:w="11906" w:h="16838"/>
          <w:pgMar w:top="1440" w:right="1800" w:bottom="1440" w:left="1800" w:header="851" w:footer="992" w:gutter="0"/>
          <w:cols w:space="425" w:num="1"/>
          <w:docGrid w:type="lines" w:linePitch="312" w:charSpace="0"/>
        </w:sectPr>
      </w:pPr>
    </w:p>
    <w:p>
      <w:pPr>
        <w:spacing w:line="360" w:lineRule="auto"/>
        <w:rPr>
          <w:rFonts w:cs="Times New Roman"/>
          <w:b/>
          <w:bCs/>
        </w:rPr>
      </w:pPr>
      <w:r>
        <w:rPr>
          <w:rFonts w:ascii="宋体" w:hAnsi="宋体" w:cs="宋体"/>
          <w:b/>
          <w:bCs/>
          <w:sz w:val="48"/>
          <w:szCs w:val="48"/>
        </w:rPr>
        <w:tab/>
      </w:r>
      <w:r>
        <w:rPr>
          <w:rFonts w:hint="eastAsia" w:cs="宋体"/>
          <w:b/>
          <w:bCs/>
        </w:rPr>
        <w:t>附件一：资格性及符合性审查表</w:t>
      </w:r>
    </w:p>
    <w:p>
      <w:pPr>
        <w:tabs>
          <w:tab w:val="left" w:pos="210"/>
          <w:tab w:val="center" w:pos="6979"/>
        </w:tabs>
        <w:adjustRightInd w:val="0"/>
        <w:snapToGrid w:val="0"/>
        <w:spacing w:line="460" w:lineRule="atLeast"/>
        <w:ind w:firstLine="480" w:firstLineChars="100"/>
        <w:jc w:val="left"/>
        <w:rPr>
          <w:rFonts w:ascii="宋体" w:cs="宋体"/>
          <w:b/>
          <w:bCs/>
          <w:sz w:val="48"/>
          <w:szCs w:val="48"/>
        </w:rPr>
      </w:pPr>
      <w:r>
        <w:rPr>
          <w:rFonts w:ascii="宋体" w:hAnsi="宋体" w:cs="宋体"/>
          <w:b/>
          <w:bCs/>
          <w:sz w:val="48"/>
          <w:szCs w:val="48"/>
        </w:rPr>
        <w:tab/>
      </w:r>
      <w:r>
        <w:rPr>
          <w:rFonts w:hint="eastAsia" w:ascii="宋体" w:hAnsi="宋体" w:cs="宋体"/>
          <w:b/>
          <w:bCs/>
          <w:sz w:val="48"/>
          <w:szCs w:val="48"/>
        </w:rPr>
        <w:t>广西南宁技师学院</w:t>
      </w:r>
    </w:p>
    <w:p>
      <w:pPr>
        <w:spacing w:after="312" w:afterLines="100"/>
        <w:jc w:val="center"/>
        <w:rPr>
          <w:rFonts w:ascii="宋体" w:cs="宋体"/>
          <w:sz w:val="36"/>
          <w:szCs w:val="36"/>
        </w:rPr>
      </w:pPr>
      <w:r>
        <w:rPr>
          <w:rFonts w:hint="eastAsia" w:ascii="宋体" w:hAnsi="宋体" w:cs="宋体"/>
          <w:sz w:val="36"/>
          <w:szCs w:val="36"/>
        </w:rPr>
        <w:t>资格性及符合性审查表</w:t>
      </w:r>
    </w:p>
    <w:p>
      <w:pPr>
        <w:spacing w:after="156" w:afterLines="50" w:line="400" w:lineRule="exact"/>
        <w:rPr>
          <w:rFonts w:ascii="宋体" w:cs="宋体"/>
          <w:b/>
          <w:bCs/>
          <w:kern w:val="0"/>
          <w:sz w:val="24"/>
          <w:szCs w:val="24"/>
        </w:rPr>
      </w:pPr>
      <w:r>
        <w:rPr>
          <w:rFonts w:hint="eastAsia" w:cs="宋体"/>
          <w:b/>
          <w:bCs/>
          <w:sz w:val="24"/>
          <w:szCs w:val="24"/>
        </w:rPr>
        <w:t>采购项目：</w:t>
      </w:r>
    </w:p>
    <w:tbl>
      <w:tblPr>
        <w:tblStyle w:val="36"/>
        <w:tblpPr w:leftFromText="180" w:rightFromText="180" w:vertAnchor="text" w:horzAnchor="margin" w:tblpXSpec="center" w:tblpY="43"/>
        <w:tblW w:w="15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top w:w="0" w:type="dxa"/>
          <w:left w:w="108" w:type="dxa"/>
          <w:bottom w:w="0" w:type="dxa"/>
          <w:right w:w="108" w:type="dxa"/>
        </w:tblCellMar>
      </w:tblPr>
      <w:tblGrid>
        <w:gridCol w:w="635"/>
        <w:gridCol w:w="2848"/>
        <w:gridCol w:w="1303"/>
        <w:gridCol w:w="1843"/>
        <w:gridCol w:w="1134"/>
        <w:gridCol w:w="1984"/>
        <w:gridCol w:w="851"/>
        <w:gridCol w:w="850"/>
        <w:gridCol w:w="1560"/>
        <w:gridCol w:w="127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17" w:hRule="atLeast"/>
          <w:jc w:val="center"/>
        </w:trPr>
        <w:tc>
          <w:tcPr>
            <w:tcW w:w="635" w:type="dxa"/>
            <w:vMerge w:val="restart"/>
            <w:shd w:val="clear" w:color="auto" w:fill="D9D9D9"/>
            <w:vAlign w:val="center"/>
          </w:tcPr>
          <w:p>
            <w:pPr>
              <w:jc w:val="center"/>
              <w:rPr>
                <w:rFonts w:ascii="宋体" w:cs="宋体"/>
                <w:spacing w:val="-12"/>
              </w:rPr>
            </w:pPr>
            <w:r>
              <w:rPr>
                <w:rFonts w:hint="eastAsia" w:ascii="宋体" w:hAnsi="宋体" w:cs="宋体"/>
                <w:spacing w:val="-12"/>
              </w:rPr>
              <w:t>序号</w:t>
            </w:r>
          </w:p>
        </w:tc>
        <w:tc>
          <w:tcPr>
            <w:tcW w:w="2848" w:type="dxa"/>
            <w:vMerge w:val="restart"/>
            <w:tcBorders>
              <w:tl2br w:val="single" w:color="auto" w:sz="4" w:space="0"/>
            </w:tcBorders>
            <w:shd w:val="clear" w:color="auto" w:fill="D9D9D9"/>
            <w:vAlign w:val="center"/>
          </w:tcPr>
          <w:p>
            <w:pPr>
              <w:ind w:firstLine="1575" w:firstLineChars="750"/>
              <w:rPr>
                <w:rFonts w:ascii="宋体" w:cs="宋体"/>
              </w:rPr>
            </w:pPr>
            <w:r>
              <w:rPr>
                <w:rFonts w:hint="eastAsia" w:ascii="宋体" w:hAnsi="宋体" w:cs="宋体"/>
              </w:rPr>
              <w:t>检查项目</w:t>
            </w:r>
          </w:p>
          <w:p>
            <w:pPr>
              <w:rPr>
                <w:rFonts w:ascii="宋体" w:cs="宋体"/>
                <w:spacing w:val="-12"/>
              </w:rPr>
            </w:pPr>
            <w:r>
              <w:rPr>
                <w:rFonts w:hint="eastAsia" w:ascii="宋体" w:hAnsi="宋体" w:cs="宋体"/>
              </w:rPr>
              <w:t>供应商名称</w:t>
            </w:r>
          </w:p>
        </w:tc>
        <w:tc>
          <w:tcPr>
            <w:tcW w:w="1303" w:type="dxa"/>
            <w:shd w:val="clear" w:color="auto" w:fill="D9D9D9"/>
            <w:vAlign w:val="center"/>
          </w:tcPr>
          <w:p>
            <w:pPr>
              <w:jc w:val="center"/>
              <w:rPr>
                <w:rFonts w:ascii="宋体" w:cs="宋体"/>
              </w:rPr>
            </w:pPr>
            <w:r>
              <w:rPr>
                <w:rFonts w:hint="eastAsia" w:ascii="宋体" w:hAnsi="宋体" w:cs="宋体"/>
              </w:rPr>
              <w:t>资格性审查</w:t>
            </w:r>
          </w:p>
        </w:tc>
        <w:tc>
          <w:tcPr>
            <w:tcW w:w="9497" w:type="dxa"/>
            <w:gridSpan w:val="7"/>
            <w:shd w:val="clear" w:color="auto" w:fill="D9D9D9"/>
            <w:vAlign w:val="center"/>
          </w:tcPr>
          <w:p>
            <w:pPr>
              <w:jc w:val="center"/>
              <w:rPr>
                <w:rFonts w:ascii="宋体" w:cs="宋体"/>
              </w:rPr>
            </w:pPr>
            <w:r>
              <w:rPr>
                <w:rFonts w:hint="eastAsia" w:ascii="宋体" w:hAnsi="宋体" w:cs="宋体"/>
              </w:rPr>
              <w:t>符合性审查</w:t>
            </w:r>
          </w:p>
        </w:tc>
        <w:tc>
          <w:tcPr>
            <w:tcW w:w="851" w:type="dxa"/>
            <w:vMerge w:val="restart"/>
            <w:shd w:val="clear" w:color="auto" w:fill="D9D9D9"/>
            <w:vAlign w:val="center"/>
          </w:tcPr>
          <w:p>
            <w:pPr>
              <w:jc w:val="center"/>
              <w:rPr>
                <w:rFonts w:ascii="宋体" w:cs="宋体"/>
              </w:rPr>
            </w:pPr>
            <w:r>
              <w:rPr>
                <w:rFonts w:hint="eastAsia" w:ascii="宋体" w:hAnsi="宋体" w:cs="宋体"/>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564" w:hRule="atLeast"/>
          <w:jc w:val="center"/>
        </w:trPr>
        <w:tc>
          <w:tcPr>
            <w:tcW w:w="635" w:type="dxa"/>
            <w:vMerge w:val="continue"/>
            <w:shd w:val="clear" w:color="auto" w:fill="D9D9D9"/>
            <w:vAlign w:val="center"/>
          </w:tcPr>
          <w:p>
            <w:pPr>
              <w:jc w:val="center"/>
              <w:rPr>
                <w:rFonts w:ascii="宋体" w:cs="宋体"/>
                <w:spacing w:val="-12"/>
              </w:rPr>
            </w:pPr>
          </w:p>
        </w:tc>
        <w:tc>
          <w:tcPr>
            <w:tcW w:w="2848" w:type="dxa"/>
            <w:vMerge w:val="continue"/>
            <w:tcBorders>
              <w:tl2br w:val="single" w:color="auto" w:sz="4" w:space="0"/>
            </w:tcBorders>
            <w:shd w:val="clear" w:color="auto" w:fill="D9D9D9"/>
            <w:vAlign w:val="center"/>
          </w:tcPr>
          <w:p>
            <w:pPr>
              <w:ind w:firstLine="1575" w:firstLineChars="750"/>
              <w:rPr>
                <w:rFonts w:ascii="宋体" w:cs="宋体"/>
              </w:rPr>
            </w:pPr>
          </w:p>
        </w:tc>
        <w:tc>
          <w:tcPr>
            <w:tcW w:w="1303" w:type="dxa"/>
            <w:shd w:val="clear" w:color="auto" w:fill="D9D9D9"/>
            <w:vAlign w:val="center"/>
          </w:tcPr>
          <w:p>
            <w:pPr>
              <w:jc w:val="center"/>
              <w:rPr>
                <w:rFonts w:ascii="宋体" w:cs="宋体"/>
              </w:rPr>
            </w:pPr>
            <w:r>
              <w:rPr>
                <w:rFonts w:hint="eastAsia" w:ascii="宋体" w:hAnsi="宋体" w:cs="宋体"/>
              </w:rPr>
              <w:t>合格供应商</w:t>
            </w:r>
          </w:p>
        </w:tc>
        <w:tc>
          <w:tcPr>
            <w:tcW w:w="1843" w:type="dxa"/>
            <w:shd w:val="clear" w:color="auto" w:fill="D9D9D9"/>
            <w:vAlign w:val="center"/>
          </w:tcPr>
          <w:p>
            <w:pPr>
              <w:jc w:val="center"/>
              <w:rPr>
                <w:rFonts w:ascii="宋体" w:cs="宋体"/>
              </w:rPr>
            </w:pPr>
            <w:r>
              <w:rPr>
                <w:rFonts w:hint="eastAsia" w:ascii="宋体" w:hAnsi="宋体" w:cs="宋体"/>
              </w:rPr>
              <w:t>响应文件</w:t>
            </w:r>
          </w:p>
          <w:p>
            <w:pPr>
              <w:jc w:val="center"/>
              <w:rPr>
                <w:rFonts w:ascii="宋体" w:cs="宋体"/>
              </w:rPr>
            </w:pPr>
            <w:r>
              <w:rPr>
                <w:rFonts w:hint="eastAsia" w:ascii="宋体" w:hAnsi="宋体" w:cs="宋体"/>
              </w:rPr>
              <w:t>签署合格</w:t>
            </w:r>
          </w:p>
        </w:tc>
        <w:tc>
          <w:tcPr>
            <w:tcW w:w="1134" w:type="dxa"/>
            <w:shd w:val="clear" w:color="auto" w:fill="D9D9D9"/>
            <w:vAlign w:val="center"/>
          </w:tcPr>
          <w:p>
            <w:pPr>
              <w:jc w:val="center"/>
              <w:rPr>
                <w:rFonts w:ascii="宋体" w:cs="宋体"/>
              </w:rPr>
            </w:pPr>
            <w:r>
              <w:rPr>
                <w:rFonts w:hint="eastAsia" w:ascii="宋体" w:hAnsi="宋体" w:cs="宋体"/>
              </w:rPr>
              <w:t>报价要求</w:t>
            </w:r>
          </w:p>
        </w:tc>
        <w:tc>
          <w:tcPr>
            <w:tcW w:w="1984" w:type="dxa"/>
            <w:shd w:val="clear" w:color="auto" w:fill="D9D9D9"/>
            <w:vAlign w:val="center"/>
          </w:tcPr>
          <w:p>
            <w:pPr>
              <w:jc w:val="center"/>
              <w:rPr>
                <w:rFonts w:ascii="宋体" w:cs="宋体"/>
              </w:rPr>
            </w:pPr>
            <w:r>
              <w:rPr>
                <w:rFonts w:hint="eastAsia" w:ascii="宋体" w:hAnsi="宋体" w:cs="宋体"/>
              </w:rPr>
              <w:t>响应文件的完整性</w:t>
            </w:r>
          </w:p>
        </w:tc>
        <w:tc>
          <w:tcPr>
            <w:tcW w:w="851" w:type="dxa"/>
            <w:shd w:val="clear" w:color="auto" w:fill="D9D9D9"/>
            <w:vAlign w:val="center"/>
          </w:tcPr>
          <w:p>
            <w:pPr>
              <w:jc w:val="center"/>
              <w:rPr>
                <w:rFonts w:ascii="宋体" w:cs="宋体"/>
              </w:rPr>
            </w:pPr>
            <w:r>
              <w:rPr>
                <w:rFonts w:hint="eastAsia" w:ascii="宋体" w:hAnsi="宋体" w:cs="宋体"/>
              </w:rPr>
              <w:t>询价有效期</w:t>
            </w:r>
          </w:p>
        </w:tc>
        <w:tc>
          <w:tcPr>
            <w:tcW w:w="850" w:type="dxa"/>
            <w:shd w:val="clear" w:color="auto" w:fill="D9D9D9"/>
            <w:vAlign w:val="center"/>
          </w:tcPr>
          <w:p>
            <w:pPr>
              <w:jc w:val="center"/>
              <w:rPr>
                <w:rFonts w:ascii="宋体" w:cs="宋体"/>
              </w:rPr>
            </w:pPr>
            <w:r>
              <w:rPr>
                <w:rFonts w:hint="eastAsia" w:ascii="宋体" w:hAnsi="宋体" w:cs="宋体"/>
              </w:rPr>
              <w:t>带▲条款</w:t>
            </w:r>
          </w:p>
        </w:tc>
        <w:tc>
          <w:tcPr>
            <w:tcW w:w="2835" w:type="dxa"/>
            <w:gridSpan w:val="2"/>
            <w:shd w:val="clear" w:color="auto" w:fill="D9D9D9"/>
            <w:vAlign w:val="center"/>
          </w:tcPr>
          <w:p>
            <w:pPr>
              <w:jc w:val="center"/>
              <w:rPr>
                <w:rFonts w:ascii="宋体" w:cs="宋体"/>
              </w:rPr>
            </w:pPr>
            <w:r>
              <w:rPr>
                <w:rFonts w:hint="eastAsia" w:ascii="宋体" w:hAnsi="宋体" w:cs="宋体"/>
              </w:rPr>
              <w:t>其他情形</w:t>
            </w:r>
          </w:p>
        </w:tc>
        <w:tc>
          <w:tcPr>
            <w:tcW w:w="851" w:type="dxa"/>
            <w:vMerge w:val="continue"/>
            <w:shd w:val="clear" w:color="auto" w:fill="D9D9D9"/>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827" w:hRule="atLeast"/>
          <w:jc w:val="center"/>
        </w:trPr>
        <w:tc>
          <w:tcPr>
            <w:tcW w:w="635" w:type="dxa"/>
            <w:vMerge w:val="continue"/>
            <w:tcBorders>
              <w:bottom w:val="single" w:color="auto" w:sz="4" w:space="0"/>
            </w:tcBorders>
            <w:shd w:val="clear" w:color="auto" w:fill="D9D9D9"/>
            <w:vAlign w:val="center"/>
          </w:tcPr>
          <w:p>
            <w:pPr>
              <w:jc w:val="center"/>
              <w:rPr>
                <w:rFonts w:ascii="宋体" w:cs="宋体"/>
                <w:spacing w:val="-12"/>
              </w:rPr>
            </w:pPr>
          </w:p>
        </w:tc>
        <w:tc>
          <w:tcPr>
            <w:tcW w:w="2848" w:type="dxa"/>
            <w:vMerge w:val="continue"/>
            <w:tcBorders>
              <w:bottom w:val="single" w:color="auto" w:sz="4" w:space="0"/>
              <w:tl2br w:val="single" w:color="auto" w:sz="4" w:space="0"/>
            </w:tcBorders>
            <w:shd w:val="clear" w:color="auto" w:fill="D9D9D9"/>
            <w:vAlign w:val="center"/>
          </w:tcPr>
          <w:p>
            <w:pPr>
              <w:ind w:firstLine="1575" w:firstLineChars="750"/>
              <w:rPr>
                <w:rFonts w:ascii="宋体" w:cs="宋体"/>
              </w:rPr>
            </w:pPr>
          </w:p>
        </w:tc>
        <w:tc>
          <w:tcPr>
            <w:tcW w:w="1303"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详见询价询价公告中“供应商资格”</w:t>
            </w:r>
          </w:p>
        </w:tc>
        <w:tc>
          <w:tcPr>
            <w:tcW w:w="1843"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响应文件已按照询价文件规定要求签署、盖章</w:t>
            </w:r>
          </w:p>
        </w:tc>
        <w:tc>
          <w:tcPr>
            <w:tcW w:w="1134"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报价未超过本项目预算金额</w:t>
            </w:r>
          </w:p>
        </w:tc>
        <w:tc>
          <w:tcPr>
            <w:tcW w:w="1984"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报价没有重大错漏或重大不合理，并按要求签署、盖章</w:t>
            </w:r>
          </w:p>
        </w:tc>
        <w:tc>
          <w:tcPr>
            <w:tcW w:w="851"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FF0000"/>
              </w:rPr>
              <w:t>询价截止日起</w:t>
            </w:r>
            <w:r>
              <w:rPr>
                <w:rFonts w:ascii="宋体" w:hAnsi="宋体" w:cs="宋体"/>
                <w:color w:val="FF0000"/>
              </w:rPr>
              <w:t>90</w:t>
            </w:r>
            <w:r>
              <w:rPr>
                <w:rFonts w:hint="eastAsia" w:ascii="宋体" w:hAnsi="宋体" w:cs="宋体"/>
                <w:color w:val="FF0000"/>
              </w:rPr>
              <w:t>天</w:t>
            </w:r>
          </w:p>
        </w:tc>
        <w:tc>
          <w:tcPr>
            <w:tcW w:w="850"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满足询价文件要求</w:t>
            </w:r>
          </w:p>
        </w:tc>
        <w:tc>
          <w:tcPr>
            <w:tcW w:w="1560"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没有其他未实质性响应询价文件要求的</w:t>
            </w:r>
          </w:p>
        </w:tc>
        <w:tc>
          <w:tcPr>
            <w:tcW w:w="1275"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按法律法规不属于无效响应的</w:t>
            </w:r>
          </w:p>
        </w:tc>
        <w:tc>
          <w:tcPr>
            <w:tcW w:w="851" w:type="dxa"/>
            <w:vMerge w:val="continue"/>
            <w:tcBorders>
              <w:bottom w:val="single" w:color="auto" w:sz="4" w:space="0"/>
            </w:tcBorders>
            <w:shd w:val="clear" w:color="auto" w:fill="D9D9D9"/>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83"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1</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61"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2</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55"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3</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49"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4</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29"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5</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bl>
    <w:p>
      <w:pPr>
        <w:spacing w:line="400" w:lineRule="exact"/>
        <w:rPr>
          <w:rFonts w:ascii="宋体" w:cs="宋体"/>
          <w:b/>
          <w:bCs/>
          <w:sz w:val="28"/>
          <w:szCs w:val="28"/>
        </w:rPr>
      </w:pPr>
      <w:r>
        <w:rPr>
          <w:rFonts w:hint="eastAsia" w:ascii="宋体" w:hAnsi="宋体" w:cs="宋体"/>
          <w:b/>
          <w:bCs/>
        </w:rPr>
        <w:t>注：</w:t>
      </w:r>
      <w:r>
        <w:rPr>
          <w:rFonts w:ascii="宋体" w:hAnsi="宋体" w:cs="宋体"/>
        </w:rPr>
        <w:t>1</w:t>
      </w:r>
      <w:r>
        <w:rPr>
          <w:rFonts w:hint="eastAsia" w:ascii="宋体" w:hAnsi="宋体" w:cs="宋体"/>
        </w:rPr>
        <w:t>、符合审查表的打“Ο”，不符合审查表的打“×”。全部打“Ο”的结论填写通过，出现一个“×”的结论填写不通过。</w:t>
      </w:r>
    </w:p>
    <w:p>
      <w:pPr>
        <w:spacing w:line="400" w:lineRule="exact"/>
        <w:ind w:left="-359" w:leftChars="-171" w:right="-233" w:rightChars="-111" w:firstLine="2" w:firstLineChars="1"/>
        <w:rPr>
          <w:rFonts w:ascii="宋体" w:hAnsi="宋体" w:cs="宋体"/>
        </w:rPr>
      </w:pPr>
      <w:r>
        <w:rPr>
          <w:rFonts w:ascii="宋体" w:hAnsi="宋体" w:cs="宋体"/>
        </w:rPr>
        <w:t xml:space="preserve">        2</w:t>
      </w:r>
      <w:r>
        <w:rPr>
          <w:rFonts w:hint="eastAsia" w:ascii="宋体" w:hAnsi="宋体" w:cs="宋体"/>
        </w:rPr>
        <w:t>、结论为通过的供应商可以进入下一阶段的评审。</w:t>
      </w:r>
    </w:p>
    <w:p>
      <w:pPr>
        <w:pStyle w:val="35"/>
        <w:ind w:firstLine="0" w:firstLineChars="0"/>
        <w:rPr>
          <w:rFonts w:cs="Times New Roman"/>
        </w:rPr>
        <w:sectPr>
          <w:pgSz w:w="16838" w:h="11906" w:orient="landscape"/>
          <w:pgMar w:top="1797" w:right="1440" w:bottom="1797" w:left="1440" w:header="851" w:footer="992" w:gutter="0"/>
          <w:cols w:space="425" w:num="1"/>
          <w:docGrid w:type="linesAndChars" w:linePitch="312" w:charSpace="0"/>
        </w:sectPr>
      </w:pPr>
    </w:p>
    <w:p>
      <w:pPr>
        <w:pStyle w:val="3"/>
        <w:jc w:val="center"/>
        <w:rPr>
          <w:sz w:val="36"/>
          <w:szCs w:val="36"/>
        </w:rPr>
      </w:pPr>
      <w:bookmarkStart w:id="61" w:name="_Toc50737322"/>
      <w:bookmarkStart w:id="62" w:name="_Toc454458060"/>
      <w:bookmarkStart w:id="63" w:name="_Toc50691023"/>
      <w:bookmarkStart w:id="64" w:name="_Toc50737290"/>
      <w:bookmarkStart w:id="65" w:name="_Toc50736470"/>
      <w:bookmarkStart w:id="66" w:name="_Toc87417452"/>
      <w:bookmarkStart w:id="67" w:name="_Toc4423"/>
      <w:bookmarkStart w:id="68" w:name="_Toc43264513"/>
      <w:r>
        <w:rPr>
          <w:rFonts w:hint="eastAsia"/>
          <w:sz w:val="36"/>
          <w:szCs w:val="36"/>
        </w:rPr>
        <w:t xml:space="preserve">第四章 </w:t>
      </w:r>
      <w:r>
        <w:rPr>
          <w:rFonts w:hint="eastAsia"/>
          <w:color w:val="000000" w:themeColor="text1"/>
          <w:sz w:val="36"/>
          <w:szCs w:val="36"/>
          <w14:textFill>
            <w14:solidFill>
              <w14:schemeClr w14:val="tx1"/>
            </w14:solidFill>
          </w14:textFill>
        </w:rPr>
        <w:t>合同</w:t>
      </w:r>
      <w:bookmarkEnd w:id="61"/>
      <w:bookmarkEnd w:id="62"/>
      <w:bookmarkEnd w:id="63"/>
      <w:bookmarkEnd w:id="64"/>
      <w:bookmarkEnd w:id="65"/>
      <w:bookmarkEnd w:id="66"/>
      <w:r>
        <w:rPr>
          <w:rFonts w:hint="eastAsia"/>
          <w:color w:val="000000" w:themeColor="text1"/>
          <w:sz w:val="36"/>
          <w:szCs w:val="36"/>
          <w14:textFill>
            <w14:solidFill>
              <w14:schemeClr w14:val="tx1"/>
            </w14:solidFill>
          </w14:textFill>
        </w:rPr>
        <w:t>格式</w:t>
      </w:r>
      <w:bookmarkEnd w:id="67"/>
      <w:r>
        <w:rPr>
          <w:rFonts w:hint="eastAsia"/>
          <w:color w:val="000000" w:themeColor="text1"/>
          <w:sz w:val="36"/>
          <w:szCs w:val="36"/>
          <w14:textFill>
            <w14:solidFill>
              <w14:schemeClr w14:val="tx1"/>
            </w14:solidFill>
          </w14:textFill>
        </w:rPr>
        <w:t>和范文</w:t>
      </w: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jc w:val="center"/>
        <w:rPr>
          <w:rFonts w:eastAsia="黑体"/>
          <w:sz w:val="48"/>
        </w:rPr>
      </w:pPr>
    </w:p>
    <w:p>
      <w:pPr>
        <w:jc w:val="center"/>
        <w:rPr>
          <w:rFonts w:eastAsia="黑体"/>
          <w:sz w:val="48"/>
        </w:rPr>
      </w:pPr>
    </w:p>
    <w:p>
      <w:pPr>
        <w:jc w:val="center"/>
        <w:rPr>
          <w:rFonts w:eastAsia="黑体"/>
          <w:sz w:val="48"/>
        </w:rPr>
      </w:pPr>
    </w:p>
    <w:p>
      <w:pPr>
        <w:jc w:val="center"/>
        <w:rPr>
          <w:rFonts w:eastAsia="黑体"/>
          <w:sz w:val="48"/>
          <w:highlight w:val="yellow"/>
        </w:rPr>
      </w:pPr>
      <w:r>
        <w:rPr>
          <w:rFonts w:eastAsia="黑体"/>
          <w:sz w:val="48"/>
          <w:highlight w:val="yellow"/>
        </w:rPr>
        <w:t>合 同</w:t>
      </w:r>
    </w:p>
    <w:p>
      <w:pPr>
        <w:jc w:val="center"/>
        <w:rPr>
          <w:rFonts w:eastAsia="黑体"/>
          <w:sz w:val="48"/>
        </w:rPr>
      </w:pPr>
    </w:p>
    <w:p>
      <w:pPr>
        <w:jc w:val="center"/>
        <w:rPr>
          <w:rFonts w:eastAsia="黑体"/>
          <w:sz w:val="48"/>
        </w:rPr>
      </w:pPr>
    </w:p>
    <w:p>
      <w:pPr>
        <w:jc w:val="center"/>
        <w:rPr>
          <w:rFonts w:eastAsia="黑体"/>
          <w:sz w:val="48"/>
        </w:rPr>
      </w:pPr>
    </w:p>
    <w:p>
      <w:pPr>
        <w:jc w:val="center"/>
        <w:rPr>
          <w:rFonts w:eastAsia="黑体"/>
          <w:sz w:val="32"/>
        </w:rPr>
      </w:pPr>
    </w:p>
    <w:p/>
    <w:p/>
    <w:p/>
    <w:p>
      <w:pPr>
        <w:rPr>
          <w:sz w:val="30"/>
          <w:szCs w:val="30"/>
        </w:rPr>
      </w:pPr>
      <w:r>
        <w:rPr>
          <w:rFonts w:hint="eastAsia"/>
          <w:b/>
          <w:sz w:val="36"/>
          <w:szCs w:val="36"/>
        </w:rPr>
        <w:t>项目名称：</w:t>
      </w:r>
    </w:p>
    <w:p>
      <w:r>
        <w:rPr>
          <w:rFonts w:hint="eastAsia"/>
          <w:b/>
          <w:sz w:val="36"/>
          <w:szCs w:val="36"/>
        </w:rPr>
        <w:t>项目编号：</w:t>
      </w:r>
    </w:p>
    <w:p/>
    <w:p>
      <w:pPr>
        <w:rPr>
          <w:sz w:val="30"/>
          <w:szCs w:val="30"/>
        </w:rPr>
      </w:pPr>
      <w:r>
        <w:rPr>
          <w:sz w:val="30"/>
          <w:szCs w:val="30"/>
        </w:rPr>
        <w:t>甲  方：</w:t>
      </w:r>
      <w:r>
        <w:rPr>
          <w:rFonts w:hint="eastAsia"/>
          <w:sz w:val="30"/>
          <w:szCs w:val="30"/>
        </w:rPr>
        <w:t>广西南宁技师学院</w:t>
      </w:r>
    </w:p>
    <w:p>
      <w:pPr>
        <w:rPr>
          <w:sz w:val="30"/>
          <w:szCs w:val="30"/>
        </w:rPr>
      </w:pPr>
    </w:p>
    <w:p>
      <w:r>
        <w:rPr>
          <w:sz w:val="30"/>
          <w:szCs w:val="30"/>
        </w:rPr>
        <w:t>乙  方：</w:t>
      </w:r>
    </w:p>
    <w:p/>
    <w:p/>
    <w:p>
      <w:pPr>
        <w:rPr>
          <w:sz w:val="30"/>
          <w:szCs w:val="30"/>
        </w:rPr>
      </w:pPr>
      <w:r>
        <w:rPr>
          <w:rFonts w:hint="eastAsia"/>
          <w:sz w:val="30"/>
          <w:szCs w:val="30"/>
        </w:rPr>
        <w:t>日  期：</w:t>
      </w:r>
    </w:p>
    <w:p>
      <w:pPr>
        <w:jc w:val="center"/>
        <w:rPr>
          <w:rFonts w:hint="eastAsia"/>
          <w:b/>
          <w:sz w:val="36"/>
          <w:szCs w:val="36"/>
        </w:rPr>
      </w:pPr>
    </w:p>
    <w:p>
      <w:pPr>
        <w:jc w:val="center"/>
        <w:rPr>
          <w:b/>
          <w:sz w:val="36"/>
          <w:szCs w:val="36"/>
        </w:rPr>
      </w:pPr>
      <w:r>
        <w:rPr>
          <w:rFonts w:hint="eastAsia"/>
          <w:b/>
          <w:sz w:val="36"/>
          <w:szCs w:val="36"/>
        </w:rPr>
        <w:t>目</w:t>
      </w:r>
      <w:r>
        <w:rPr>
          <w:b/>
          <w:sz w:val="36"/>
          <w:szCs w:val="36"/>
        </w:rPr>
        <w:t xml:space="preserve">  </w:t>
      </w:r>
      <w:r>
        <w:rPr>
          <w:rFonts w:hint="eastAsia"/>
          <w:b/>
          <w:sz w:val="36"/>
          <w:szCs w:val="36"/>
        </w:rPr>
        <w:t>录</w:t>
      </w:r>
    </w:p>
    <w:p>
      <w:pPr>
        <w:tabs>
          <w:tab w:val="left" w:pos="1170"/>
        </w:tabs>
        <w:spacing w:line="360" w:lineRule="auto"/>
        <w:ind w:left="359" w:leftChars="171" w:firstLine="198" w:firstLineChars="71"/>
        <w:rPr>
          <w:rFonts w:ascii="宋体" w:hAnsi="宋体"/>
          <w:sz w:val="28"/>
        </w:rPr>
      </w:pPr>
      <w:r>
        <w:rPr>
          <w:rFonts w:hint="eastAsia" w:ascii="宋体" w:hAnsi="宋体"/>
          <w:sz w:val="28"/>
        </w:rPr>
        <w:tab/>
      </w:r>
    </w:p>
    <w:p>
      <w:pPr>
        <w:rPr>
          <w:b/>
          <w:sz w:val="30"/>
          <w:szCs w:val="30"/>
        </w:rPr>
      </w:pPr>
      <w:r>
        <w:rPr>
          <w:rFonts w:hint="eastAsia"/>
          <w:b/>
          <w:sz w:val="30"/>
          <w:szCs w:val="30"/>
        </w:rPr>
        <w:t>一、广西南宁技师学院自行采购合同书</w:t>
      </w:r>
    </w:p>
    <w:p>
      <w:pPr>
        <w:rPr>
          <w:b/>
          <w:sz w:val="30"/>
          <w:szCs w:val="30"/>
        </w:rPr>
      </w:pPr>
      <w:r>
        <w:rPr>
          <w:rFonts w:hint="eastAsia"/>
          <w:b/>
          <w:sz w:val="30"/>
          <w:szCs w:val="30"/>
        </w:rPr>
        <w:t>二、合同附件</w:t>
      </w:r>
    </w:p>
    <w:p>
      <w:pPr>
        <w:numPr>
          <w:ilvl w:val="0"/>
          <w:numId w:val="2"/>
        </w:numPr>
        <w:tabs>
          <w:tab w:val="left" w:pos="972"/>
        </w:tabs>
        <w:rPr>
          <w:rFonts w:ascii="宋体" w:hAnsi="宋体"/>
          <w:sz w:val="28"/>
        </w:rPr>
      </w:pPr>
      <w:r>
        <w:rPr>
          <w:rFonts w:hint="eastAsia" w:ascii="宋体" w:hAnsi="宋体"/>
          <w:sz w:val="28"/>
          <w:lang w:val="en-US" w:eastAsia="zh-CN"/>
        </w:rPr>
        <w:t>成交</w:t>
      </w:r>
      <w:r>
        <w:rPr>
          <w:rFonts w:hint="eastAsia" w:ascii="宋体" w:hAnsi="宋体"/>
          <w:sz w:val="28"/>
        </w:rPr>
        <w:t>通知书</w:t>
      </w:r>
    </w:p>
    <w:p>
      <w:pPr>
        <w:numPr>
          <w:ilvl w:val="0"/>
          <w:numId w:val="2"/>
        </w:numPr>
        <w:tabs>
          <w:tab w:val="left" w:pos="972"/>
        </w:tabs>
        <w:rPr>
          <w:rFonts w:ascii="宋体" w:hAnsi="宋体"/>
          <w:sz w:val="28"/>
        </w:rPr>
      </w:pPr>
      <w:r>
        <w:rPr>
          <w:rFonts w:hint="eastAsia" w:ascii="宋体" w:hAnsi="宋体"/>
          <w:sz w:val="28"/>
        </w:rPr>
        <w:t>询价文件采购需求书</w:t>
      </w:r>
    </w:p>
    <w:p>
      <w:pPr>
        <w:numPr>
          <w:ilvl w:val="0"/>
          <w:numId w:val="2"/>
        </w:numPr>
        <w:tabs>
          <w:tab w:val="left" w:pos="972"/>
        </w:tabs>
        <w:rPr>
          <w:rFonts w:ascii="宋体" w:hAnsi="宋体"/>
          <w:sz w:val="28"/>
        </w:rPr>
      </w:pPr>
      <w:r>
        <w:rPr>
          <w:rFonts w:hint="eastAsia" w:ascii="宋体" w:hAnsi="宋体"/>
          <w:sz w:val="28"/>
        </w:rPr>
        <w:t>询价文件的更改通知（如有）</w:t>
      </w:r>
    </w:p>
    <w:p>
      <w:pPr>
        <w:numPr>
          <w:ilvl w:val="0"/>
          <w:numId w:val="2"/>
        </w:numPr>
        <w:tabs>
          <w:tab w:val="left" w:pos="972"/>
        </w:tabs>
        <w:rPr>
          <w:rFonts w:ascii="宋体" w:hAnsi="宋体"/>
          <w:sz w:val="28"/>
        </w:rPr>
      </w:pPr>
      <w:r>
        <w:rPr>
          <w:rFonts w:hint="eastAsia" w:ascii="宋体" w:hAnsi="宋体"/>
          <w:sz w:val="28"/>
          <w:lang w:val="en-US" w:eastAsia="zh-CN"/>
        </w:rPr>
        <w:t>报价单位</w:t>
      </w:r>
      <w:r>
        <w:rPr>
          <w:rFonts w:hint="eastAsia" w:ascii="宋体" w:hAnsi="宋体"/>
          <w:sz w:val="28"/>
        </w:rPr>
        <w:t>响应函</w:t>
      </w:r>
    </w:p>
    <w:p>
      <w:pPr>
        <w:numPr>
          <w:ilvl w:val="0"/>
          <w:numId w:val="2"/>
        </w:numPr>
        <w:tabs>
          <w:tab w:val="left" w:pos="972"/>
        </w:tabs>
        <w:rPr>
          <w:rFonts w:ascii="宋体" w:hAnsi="宋体"/>
          <w:sz w:val="28"/>
        </w:rPr>
      </w:pPr>
      <w:r>
        <w:rPr>
          <w:rFonts w:hint="eastAsia" w:ascii="宋体" w:hAnsi="宋体"/>
          <w:sz w:val="28"/>
        </w:rPr>
        <w:t>报价表</w:t>
      </w:r>
    </w:p>
    <w:p>
      <w:pPr>
        <w:numPr>
          <w:ilvl w:val="0"/>
          <w:numId w:val="2"/>
        </w:numPr>
        <w:tabs>
          <w:tab w:val="left" w:pos="972"/>
        </w:tabs>
        <w:rPr>
          <w:rFonts w:hint="eastAsia" w:eastAsia="宋体"/>
          <w:lang w:val="en-US" w:eastAsia="zh-CN"/>
        </w:rPr>
      </w:pPr>
      <w:r>
        <w:rPr>
          <w:rFonts w:hint="eastAsia" w:ascii="宋体" w:hAnsi="宋体"/>
          <w:sz w:val="28"/>
        </w:rPr>
        <w:t>报价</w:t>
      </w:r>
      <w:r>
        <w:rPr>
          <w:rFonts w:hint="eastAsia" w:ascii="宋体" w:hAnsi="宋体"/>
          <w:sz w:val="28"/>
          <w:lang w:val="en-US" w:eastAsia="zh-CN"/>
        </w:rPr>
        <w:t>明细</w:t>
      </w:r>
      <w:r>
        <w:rPr>
          <w:rFonts w:hint="eastAsia" w:ascii="宋体" w:hAnsi="宋体"/>
          <w:sz w:val="28"/>
        </w:rPr>
        <w:t>表</w:t>
      </w:r>
    </w:p>
    <w:p>
      <w:pPr>
        <w:numPr>
          <w:ilvl w:val="0"/>
          <w:numId w:val="2"/>
        </w:numPr>
        <w:tabs>
          <w:tab w:val="left" w:pos="972"/>
        </w:tabs>
        <w:rPr>
          <w:rFonts w:ascii="宋体" w:hAnsi="宋体"/>
          <w:sz w:val="28"/>
        </w:rPr>
      </w:pPr>
      <w:r>
        <w:rPr>
          <w:rFonts w:hint="eastAsia" w:ascii="宋体" w:hAnsi="宋体"/>
          <w:sz w:val="28"/>
        </w:rPr>
        <w:t>“▲”条款响应一览表</w:t>
      </w:r>
    </w:p>
    <w:p>
      <w:pPr>
        <w:numPr>
          <w:ilvl w:val="0"/>
          <w:numId w:val="2"/>
        </w:numPr>
        <w:tabs>
          <w:tab w:val="left" w:pos="972"/>
        </w:tabs>
        <w:rPr>
          <w:rFonts w:ascii="宋体" w:hAnsi="宋体"/>
          <w:sz w:val="28"/>
        </w:rPr>
      </w:pPr>
      <w:r>
        <w:rPr>
          <w:rFonts w:hint="eastAsia" w:ascii="宋体" w:hAnsi="宋体"/>
          <w:sz w:val="28"/>
          <w:lang w:val="en-US" w:eastAsia="zh-CN"/>
        </w:rPr>
        <w:t>成交</w:t>
      </w:r>
      <w:r>
        <w:rPr>
          <w:rFonts w:hint="eastAsia" w:ascii="宋体" w:hAnsi="宋体"/>
          <w:sz w:val="28"/>
        </w:rPr>
        <w:t>供应商澄清函</w:t>
      </w:r>
    </w:p>
    <w:p>
      <w:pPr>
        <w:tabs>
          <w:tab w:val="left" w:pos="972"/>
        </w:tabs>
        <w:ind w:left="420"/>
        <w:rPr>
          <w:rFonts w:ascii="宋体" w:hAnsi="宋体"/>
          <w:sz w:val="28"/>
        </w:rPr>
      </w:pPr>
    </w:p>
    <w:p>
      <w:pPr>
        <w:pStyle w:val="35"/>
        <w:ind w:firstLine="0" w:firstLineChars="0"/>
        <w:sectPr>
          <w:pgSz w:w="11906" w:h="16838"/>
          <w:pgMar w:top="1135" w:right="1135" w:bottom="1135" w:left="1135" w:header="685" w:footer="567" w:gutter="0"/>
          <w:cols w:space="720" w:num="1"/>
          <w:docGrid w:type="lines" w:linePitch="312" w:charSpace="0"/>
        </w:sectPr>
      </w:pPr>
    </w:p>
    <w:p>
      <w:pPr>
        <w:spacing w:line="300" w:lineRule="exact"/>
        <w:rPr>
          <w:rFonts w:ascii="宋体" w:hAnsi="宋体"/>
          <w:b/>
          <w:sz w:val="28"/>
          <w:szCs w:val="28"/>
        </w:rPr>
      </w:pPr>
    </w:p>
    <w:bookmarkEnd w:id="68"/>
    <w:p>
      <w:pPr>
        <w:pStyle w:val="3"/>
        <w:ind w:firstLine="3253" w:firstLineChars="900"/>
        <w:jc w:val="both"/>
        <w:rPr>
          <w:sz w:val="36"/>
          <w:szCs w:val="36"/>
        </w:rPr>
      </w:pPr>
      <w:bookmarkStart w:id="69" w:name="_Toc43264514"/>
      <w:bookmarkEnd w:id="69"/>
      <w:bookmarkStart w:id="70" w:name="_Toc50737292"/>
      <w:bookmarkStart w:id="71" w:name="_Toc50691026"/>
      <w:bookmarkStart w:id="72" w:name="_Toc50736472"/>
      <w:bookmarkStart w:id="73" w:name="_Toc454458061"/>
      <w:bookmarkStart w:id="74" w:name="_Toc50737324"/>
      <w:bookmarkStart w:id="75" w:name="_Toc87417454"/>
      <w:bookmarkStart w:id="76" w:name="_Toc30130"/>
      <w:r>
        <w:rPr>
          <w:rFonts w:hint="eastAsia"/>
          <w:sz w:val="36"/>
          <w:szCs w:val="36"/>
        </w:rPr>
        <w:t>第五章 响应文件格式</w:t>
      </w:r>
      <w:bookmarkEnd w:id="70"/>
      <w:bookmarkEnd w:id="71"/>
      <w:bookmarkEnd w:id="72"/>
      <w:bookmarkEnd w:id="73"/>
      <w:bookmarkEnd w:id="74"/>
      <w:bookmarkEnd w:id="75"/>
      <w:bookmarkEnd w:id="76"/>
    </w:p>
    <w:p>
      <w:pPr>
        <w:pStyle w:val="4"/>
        <w:widowControl/>
        <w:spacing w:line="440" w:lineRule="exact"/>
        <w:jc w:val="center"/>
        <w:rPr>
          <w:rFonts w:ascii="宋体" w:hAnsi="宋体" w:eastAsia="宋体" w:cs="宋体"/>
          <w:b w:val="0"/>
        </w:rPr>
      </w:pPr>
      <w:bookmarkStart w:id="77" w:name="_Toc453493041"/>
      <w:bookmarkStart w:id="78" w:name="_Toc448133318"/>
      <w:bookmarkStart w:id="79" w:name="_Toc454458062"/>
      <w:bookmarkStart w:id="80" w:name="_Toc321408662"/>
      <w:r>
        <w:rPr>
          <w:rFonts w:hint="eastAsia" w:ascii="宋体" w:hAnsi="宋体" w:eastAsia="宋体" w:cs="宋体"/>
          <w:b w:val="0"/>
        </w:rPr>
        <w:t>响应文件封面</w:t>
      </w:r>
      <w:bookmarkEnd w:id="77"/>
      <w:bookmarkEnd w:id="78"/>
      <w:bookmarkEnd w:id="79"/>
    </w:p>
    <w:tbl>
      <w:tblPr>
        <w:tblStyle w:val="36"/>
        <w:tblW w:w="960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606" w:type="dxa"/>
            <w:tcBorders>
              <w:top w:val="single" w:color="auto" w:sz="4" w:space="0"/>
              <w:left w:val="single" w:color="auto" w:sz="4" w:space="0"/>
              <w:bottom w:val="single" w:color="auto" w:sz="4" w:space="0"/>
              <w:right w:val="single" w:color="auto" w:sz="4" w:space="0"/>
            </w:tcBorders>
          </w:tcPr>
          <w:p>
            <w:pPr>
              <w:pStyle w:val="32"/>
              <w:widowControl w:val="0"/>
              <w:spacing w:before="0" w:beforeAutospacing="0" w:after="0" w:afterAutospacing="0" w:line="360" w:lineRule="auto"/>
              <w:ind w:firstLine="482" w:firstLineChars="150"/>
              <w:jc w:val="both"/>
              <w:rPr>
                <w:rFonts w:ascii="仿宋_GB2312" w:eastAsia="仿宋_GB2312" w:cs="仿宋_GB2312"/>
                <w:b/>
                <w:kern w:val="2"/>
                <w:sz w:val="32"/>
                <w:szCs w:val="32"/>
              </w:rPr>
            </w:pPr>
          </w:p>
          <w:p>
            <w:pPr>
              <w:pStyle w:val="32"/>
              <w:widowControl w:val="0"/>
              <w:spacing w:before="0" w:beforeAutospacing="0" w:after="0" w:afterAutospacing="0" w:line="360" w:lineRule="auto"/>
              <w:ind w:firstLine="482" w:firstLineChars="150"/>
              <w:jc w:val="both"/>
              <w:rPr>
                <w:rFonts w:ascii="仿宋_GB2312" w:eastAsia="仿宋_GB2312" w:cs="仿宋_GB2312"/>
                <w:b/>
                <w:kern w:val="2"/>
                <w:sz w:val="32"/>
                <w:szCs w:val="32"/>
              </w:rPr>
            </w:pPr>
          </w:p>
          <w:p>
            <w:pPr>
              <w:pStyle w:val="32"/>
              <w:widowControl w:val="0"/>
              <w:spacing w:before="0" w:beforeAutospacing="0" w:after="0" w:afterAutospacing="0" w:line="360" w:lineRule="auto"/>
              <w:jc w:val="center"/>
              <w:rPr>
                <w:rFonts w:hAnsi="Times New Roman"/>
                <w:kern w:val="2"/>
                <w:sz w:val="52"/>
                <w:szCs w:val="52"/>
              </w:rPr>
            </w:pPr>
            <w:r>
              <w:rPr>
                <w:rFonts w:hint="eastAsia"/>
                <w:kern w:val="2"/>
                <w:sz w:val="52"/>
                <w:szCs w:val="52"/>
              </w:rPr>
              <w:t>广西南宁技师学院询价项目</w:t>
            </w:r>
          </w:p>
          <w:p>
            <w:pPr>
              <w:pStyle w:val="32"/>
              <w:widowControl w:val="0"/>
              <w:spacing w:before="0" w:beforeAutospacing="0" w:after="0" w:afterAutospacing="0" w:line="360" w:lineRule="auto"/>
              <w:jc w:val="center"/>
              <w:rPr>
                <w:rFonts w:hAnsi="Times New Roman"/>
                <w:kern w:val="2"/>
                <w:sz w:val="72"/>
                <w:szCs w:val="72"/>
              </w:rPr>
            </w:pPr>
            <w:r>
              <w:rPr>
                <w:rFonts w:hint="eastAsia"/>
                <w:kern w:val="2"/>
                <w:sz w:val="72"/>
                <w:szCs w:val="72"/>
              </w:rPr>
              <w:t>响应文件</w:t>
            </w:r>
          </w:p>
          <w:p>
            <w:pPr>
              <w:pStyle w:val="32"/>
              <w:widowControl w:val="0"/>
              <w:spacing w:before="0" w:beforeAutospacing="0" w:after="0" w:afterAutospacing="0" w:line="360" w:lineRule="auto"/>
              <w:jc w:val="center"/>
              <w:rPr>
                <w:rFonts w:hAnsi="Times New Roman"/>
                <w:kern w:val="2"/>
                <w:sz w:val="32"/>
                <w:szCs w:val="32"/>
              </w:rPr>
            </w:pPr>
          </w:p>
          <w:p>
            <w:pPr>
              <w:pStyle w:val="32"/>
              <w:widowControl w:val="0"/>
              <w:spacing w:before="0" w:beforeAutospacing="0" w:after="0" w:afterAutospacing="0" w:line="360" w:lineRule="auto"/>
              <w:jc w:val="center"/>
              <w:rPr>
                <w:rFonts w:ascii="黑体" w:hAnsi="Times New Roman" w:eastAsia="黑体" w:cs="黑体"/>
                <w:kern w:val="2"/>
                <w:sz w:val="32"/>
                <w:szCs w:val="32"/>
              </w:rPr>
            </w:pPr>
            <w:r>
              <w:rPr>
                <w:rFonts w:hint="eastAsia"/>
                <w:kern w:val="2"/>
                <w:sz w:val="32"/>
                <w:szCs w:val="32"/>
              </w:rPr>
              <w:t>□正本□副本</w:t>
            </w:r>
          </w:p>
          <w:p>
            <w:pPr>
              <w:pStyle w:val="32"/>
              <w:widowControl w:val="0"/>
              <w:spacing w:before="0" w:beforeAutospacing="0" w:after="0" w:afterAutospacing="0" w:line="360" w:lineRule="auto"/>
              <w:jc w:val="both"/>
              <w:rPr>
                <w:rFonts w:ascii="仿宋_GB2312" w:eastAsia="仿宋_GB2312" w:cs="仿宋_GB2312"/>
                <w:kern w:val="2"/>
                <w:sz w:val="32"/>
                <w:szCs w:val="32"/>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项目编号：</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项目名称：</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供应商名称（公章）：</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供应商地址：</w:t>
            </w:r>
          </w:p>
          <w:p>
            <w:pPr>
              <w:tabs>
                <w:tab w:val="left" w:pos="851"/>
              </w:tabs>
              <w:autoSpaceDE w:val="0"/>
              <w:autoSpaceDN w:val="0"/>
              <w:adjustRightInd w:val="0"/>
              <w:snapToGrid w:val="0"/>
              <w:spacing w:line="420" w:lineRule="auto"/>
              <w:rPr>
                <w:rFonts w:ascii="仿宋_GB2312" w:eastAsia="仿宋_GB2312" w:cs="仿宋_GB2312"/>
                <w:b/>
                <w:sz w:val="32"/>
                <w:szCs w:val="32"/>
              </w:rPr>
            </w:pPr>
          </w:p>
        </w:tc>
      </w:tr>
      <w:bookmarkEnd w:id="80"/>
    </w:tbl>
    <w:p>
      <w:pPr>
        <w:outlineLvl w:val="1"/>
        <w:rPr>
          <w:rFonts w:ascii="宋体" w:hAnsi="Times New Roman" w:cs="宋体"/>
          <w:color w:val="FF0000"/>
          <w:kern w:val="0"/>
        </w:rPr>
      </w:pPr>
    </w:p>
    <w:p>
      <w:pPr>
        <w:pStyle w:val="35"/>
        <w:ind w:firstLine="210"/>
      </w:pPr>
    </w:p>
    <w:p>
      <w:pPr>
        <w:pStyle w:val="32"/>
        <w:widowControl w:val="0"/>
        <w:numPr>
          <w:ilvl w:val="0"/>
          <w:numId w:val="3"/>
        </w:numPr>
        <w:spacing w:before="0" w:beforeAutospacing="0" w:after="0" w:afterAutospacing="0"/>
        <w:rPr>
          <w:rFonts w:ascii="Arial" w:hAnsi="Arial" w:eastAsia="黑体"/>
          <w:sz w:val="28"/>
          <w:szCs w:val="28"/>
        </w:rPr>
      </w:pPr>
      <w:bookmarkStart w:id="81" w:name="_Toc52165077"/>
      <w:bookmarkStart w:id="82" w:name="_Toc50737293"/>
      <w:bookmarkStart w:id="83" w:name="_Toc168212179"/>
      <w:bookmarkStart w:id="84" w:name="_Toc50691028"/>
      <w:bookmarkStart w:id="85" w:name="_Toc50737325"/>
      <w:bookmarkStart w:id="86" w:name="_Toc50736473"/>
    </w:p>
    <w:p>
      <w:pPr>
        <w:jc w:val="center"/>
        <w:outlineLvl w:val="1"/>
        <w:rPr>
          <w:rFonts w:ascii="黑体" w:hAnsi="宋体" w:eastAsia="黑体" w:cs="黑体"/>
          <w:kern w:val="0"/>
          <w:sz w:val="32"/>
          <w:szCs w:val="32"/>
        </w:rPr>
      </w:pPr>
      <w:r>
        <w:rPr>
          <w:rFonts w:hint="eastAsia" w:ascii="黑体" w:hAnsi="宋体" w:eastAsia="黑体" w:cs="黑体"/>
          <w:kern w:val="0"/>
          <w:sz w:val="32"/>
          <w:szCs w:val="32"/>
        </w:rPr>
        <w:t>询价响应函</w:t>
      </w:r>
      <w:bookmarkEnd w:id="81"/>
      <w:bookmarkEnd w:id="82"/>
      <w:bookmarkEnd w:id="83"/>
      <w:bookmarkEnd w:id="84"/>
      <w:bookmarkEnd w:id="85"/>
      <w:bookmarkEnd w:id="86"/>
    </w:p>
    <w:p>
      <w:pPr>
        <w:spacing w:line="360" w:lineRule="auto"/>
        <w:ind w:left="105" w:leftChars="50" w:firstLine="2"/>
        <w:rPr>
          <w:rFonts w:ascii="宋体" w:hAnsi="Times New Roman" w:cs="宋体"/>
          <w:b/>
          <w:color w:val="000000"/>
        </w:rPr>
      </w:pPr>
      <w:r>
        <w:rPr>
          <w:rFonts w:hint="eastAsia" w:ascii="宋体" w:hAnsi="宋体" w:cs="宋体"/>
          <w:b/>
          <w:color w:val="000000"/>
        </w:rPr>
        <w:t>致：广西南宁技师学院</w:t>
      </w:r>
    </w:p>
    <w:p>
      <w:pPr>
        <w:spacing w:line="360" w:lineRule="auto"/>
        <w:ind w:firstLine="420" w:firstLineChars="200"/>
        <w:rPr>
          <w:rFonts w:ascii="宋体" w:hAnsi="Times New Roman" w:cs="宋体"/>
          <w:color w:val="000000"/>
        </w:rPr>
      </w:pPr>
      <w:r>
        <w:rPr>
          <w:rFonts w:hint="eastAsia" w:ascii="宋体" w:hAnsi="宋体" w:cs="宋体"/>
          <w:color w:val="000000"/>
        </w:rPr>
        <w:t>我方确认收到贵方</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w:t>
      </w:r>
      <w:r>
        <w:rPr>
          <w:rFonts w:hint="eastAsia" w:ascii="宋体" w:hAnsi="宋体" w:cs="宋体"/>
          <w:color w:val="000000"/>
          <w:kern w:val="0"/>
          <w:u w:val="single"/>
        </w:rPr>
        <w:t>项目名称</w:t>
      </w:r>
      <w:r>
        <w:rPr>
          <w:rFonts w:hint="eastAsia" w:ascii="宋体" w:hAnsi="宋体" w:cs="宋体"/>
          <w:u w:val="single"/>
        </w:rPr>
        <w:t>）</w:t>
      </w:r>
      <w:r>
        <w:rPr>
          <w:rFonts w:ascii="宋体" w:hAnsi="宋体" w:cs="宋体"/>
          <w:u w:val="single"/>
        </w:rPr>
        <w:t xml:space="preserve">   </w:t>
      </w:r>
      <w:r>
        <w:rPr>
          <w:rFonts w:hint="eastAsia" w:ascii="宋体" w:hAnsi="宋体" w:cs="宋体"/>
          <w:color w:val="000000"/>
        </w:rPr>
        <w:t>的询价文件（项目编号</w:t>
      </w:r>
      <w:r>
        <w:rPr>
          <w:rFonts w:hint="eastAsia" w:ascii="宋体" w:hAnsi="宋体" w:cs="宋体"/>
        </w:rPr>
        <w:t>：</w:t>
      </w:r>
      <w:r>
        <w:rPr>
          <w:rFonts w:ascii="宋体" w:hAnsi="宋体" w:cs="宋体"/>
          <w:u w:val="single"/>
        </w:rPr>
        <w:t xml:space="preserve">              </w:t>
      </w:r>
      <w:r>
        <w:rPr>
          <w:rFonts w:hint="eastAsia" w:ascii="宋体" w:hAnsi="宋体" w:cs="宋体"/>
        </w:rPr>
        <w:t>），</w:t>
      </w:r>
      <w:r>
        <w:rPr>
          <w:rFonts w:hint="eastAsia" w:ascii="宋体" w:hAnsi="宋体" w:cs="宋体"/>
          <w:u w:val="single"/>
        </w:rPr>
        <w:t xml:space="preserve">    (</w:t>
      </w:r>
      <w:r>
        <w:rPr>
          <w:rFonts w:hint="eastAsia" w:ascii="宋体" w:hAnsi="宋体" w:cs="宋体"/>
          <w:color w:val="000000"/>
          <w:u w:val="single"/>
        </w:rPr>
        <w:t xml:space="preserve">供应商名称、地址)   </w:t>
      </w:r>
      <w:r>
        <w:rPr>
          <w:rFonts w:hint="eastAsia" w:ascii="宋体" w:hAnsi="宋体" w:cs="宋体"/>
          <w:color w:val="000000"/>
        </w:rPr>
        <w:t>作为供应商已正式授权</w:t>
      </w:r>
      <w:r>
        <w:rPr>
          <w:rFonts w:hint="eastAsia" w:ascii="宋体" w:hAnsi="宋体" w:cs="宋体"/>
          <w:color w:val="000000"/>
          <w:u w:val="single"/>
        </w:rPr>
        <w:t xml:space="preserve">    (供应商授权代表全名、职务)   </w:t>
      </w:r>
      <w:r>
        <w:rPr>
          <w:rFonts w:hint="eastAsia" w:ascii="宋体" w:hAnsi="宋体" w:cs="宋体"/>
          <w:color w:val="000000"/>
        </w:rPr>
        <w:t>，代表我方提交响应文件进行询价并签署本项目的相关文件。</w:t>
      </w:r>
    </w:p>
    <w:p>
      <w:pPr>
        <w:spacing w:line="360" w:lineRule="auto"/>
        <w:ind w:firstLine="420" w:firstLineChars="200"/>
        <w:rPr>
          <w:rFonts w:ascii="宋体" w:hAnsi="Times New Roman" w:cs="宋体"/>
          <w:color w:val="000000"/>
        </w:rPr>
      </w:pPr>
      <w:r>
        <w:rPr>
          <w:rFonts w:hint="eastAsia" w:ascii="宋体" w:hAnsi="宋体" w:cs="宋体"/>
          <w:color w:val="000000"/>
        </w:rPr>
        <w:t>授权代表在此声明并同意：</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1.我们愿意遵守采购人询价文件的各项规定，自愿参加询价</w:t>
      </w:r>
      <w:r>
        <w:rPr>
          <w:rFonts w:hint="eastAsia" w:ascii="宋体" w:hAnsi="Times New Roman" w:cs="宋体"/>
          <w:color w:val="000000"/>
        </w:rPr>
        <w:t>,</w:t>
      </w:r>
      <w:r>
        <w:rPr>
          <w:rFonts w:hint="eastAsia" w:ascii="宋体" w:hAnsi="宋体" w:cs="宋体"/>
          <w:color w:val="000000"/>
        </w:rPr>
        <w:t>且已清楚询价文件的要求及有关文件规定，并严格按照询价文件的规定履行全部责任和义务。</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2.我们同意本响应文件自询价开始之</w:t>
      </w:r>
      <w:r>
        <w:rPr>
          <w:rFonts w:hint="eastAsia" w:ascii="宋体" w:hAnsi="宋体" w:cs="宋体"/>
        </w:rPr>
        <w:t>日起</w:t>
      </w:r>
      <w:r>
        <w:rPr>
          <w:rFonts w:hint="eastAsia" w:ascii="宋体" w:hAnsi="宋体" w:cs="宋体"/>
          <w:u w:val="single"/>
        </w:rPr>
        <w:t>90</w:t>
      </w:r>
      <w:r>
        <w:rPr>
          <w:rFonts w:hint="eastAsia" w:ascii="宋体" w:hAnsi="宋体" w:cs="宋体"/>
        </w:rPr>
        <w:t>天内</w:t>
      </w:r>
      <w:r>
        <w:rPr>
          <w:rFonts w:hint="eastAsia" w:ascii="宋体" w:hAnsi="宋体" w:cs="宋体"/>
          <w:color w:val="000000"/>
        </w:rPr>
        <w:t>有效。</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3.我们已经详细地阅读全部询价文件及附件，包括澄清（如有）及参考文件，我们完全理解本询价文件及附件的要求。</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4.我们同意提供采购人与询价小组要求的有关询价的一切数据或资料。</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5.如果我们未对询价文件实质性条款的要求作出实质性响应，则完全同意并接受按无效响应处理。</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6.我们保证提交的一切文件，无论是原件或复印件均为准确、真实、有效、完整，绝无任何虚假、伪造或者夸大。</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7.我们在此郑重承诺：在本次采购活动中，如有违法、违规、弄虚作假行为，所造成的损失、不良后果及法律责任，一律由我公司（企业）承担。</w:t>
      </w:r>
    </w:p>
    <w:p>
      <w:pPr>
        <w:adjustRightInd w:val="0"/>
        <w:snapToGrid w:val="0"/>
        <w:spacing w:line="400" w:lineRule="exact"/>
        <w:ind w:firstLine="420" w:firstLineChars="200"/>
        <w:rPr>
          <w:rFonts w:ascii="宋体" w:hAnsi="Times New Roman" w:cs="宋体"/>
        </w:rPr>
      </w:pPr>
      <w:r>
        <w:rPr>
          <w:rFonts w:hint="eastAsia" w:ascii="宋体" w:hAnsi="宋体" w:cs="宋体"/>
          <w:color w:val="000000"/>
        </w:rPr>
        <w:t>8.我们是依法注册的法人，在法律、财务及运作上完</w:t>
      </w:r>
      <w:r>
        <w:rPr>
          <w:rFonts w:hint="eastAsia" w:ascii="宋体" w:hAnsi="宋体" w:cs="宋体"/>
        </w:rPr>
        <w:t>全独立于采购人。</w:t>
      </w:r>
    </w:p>
    <w:p>
      <w:pPr>
        <w:autoSpaceDE w:val="0"/>
        <w:autoSpaceDN w:val="0"/>
        <w:adjustRightInd w:val="0"/>
        <w:snapToGrid w:val="0"/>
        <w:spacing w:line="400" w:lineRule="exact"/>
        <w:ind w:left="420" w:firstLine="310"/>
        <w:rPr>
          <w:rFonts w:ascii="宋体" w:hAnsi="Times New Roman" w:cs="宋体"/>
          <w:color w:val="000000"/>
          <w:u w:val="single"/>
        </w:rPr>
      </w:pPr>
    </w:p>
    <w:p>
      <w:pPr>
        <w:adjustRightInd w:val="0"/>
        <w:snapToGrid w:val="0"/>
        <w:spacing w:line="400" w:lineRule="exact"/>
        <w:ind w:left="480"/>
        <w:rPr>
          <w:rFonts w:ascii="宋体" w:hAnsi="Times New Roman" w:cs="宋体"/>
          <w:color w:val="000000"/>
        </w:rPr>
      </w:pPr>
    </w:p>
    <w:p>
      <w:pPr>
        <w:adjustRightInd w:val="0"/>
        <w:snapToGrid w:val="0"/>
        <w:spacing w:line="360" w:lineRule="auto"/>
        <w:ind w:left="480"/>
        <w:rPr>
          <w:rFonts w:ascii="宋体" w:hAnsi="Times New Roman" w:cs="宋体"/>
          <w:color w:val="000000"/>
        </w:rPr>
      </w:pPr>
    </w:p>
    <w:p>
      <w:pPr>
        <w:adjustRightInd w:val="0"/>
        <w:snapToGrid w:val="0"/>
        <w:spacing w:line="360" w:lineRule="auto"/>
        <w:ind w:left="480"/>
        <w:rPr>
          <w:rFonts w:ascii="宋体" w:hAnsi="Times New Roman" w:cs="宋体"/>
          <w:color w:val="000000"/>
        </w:rPr>
      </w:pPr>
    </w:p>
    <w:p>
      <w:pPr>
        <w:adjustRightInd w:val="0"/>
        <w:snapToGrid w:val="0"/>
        <w:spacing w:line="360" w:lineRule="auto"/>
        <w:ind w:left="480"/>
        <w:rPr>
          <w:rFonts w:ascii="宋体" w:hAnsi="宋体" w:cs="宋体"/>
          <w:color w:val="000000"/>
        </w:rPr>
      </w:pPr>
      <w:r>
        <w:rPr>
          <w:rFonts w:hint="eastAsia" w:ascii="宋体" w:hAnsi="宋体" w:cs="宋体"/>
          <w:color w:val="000000"/>
        </w:rPr>
        <w:t>供应商名称（公章）:</w:t>
      </w:r>
    </w:p>
    <w:p>
      <w:pPr>
        <w:adjustRightInd w:val="0"/>
        <w:snapToGrid w:val="0"/>
        <w:spacing w:line="360" w:lineRule="auto"/>
        <w:ind w:left="480"/>
        <w:rPr>
          <w:rFonts w:ascii="宋体" w:hAnsi="宋体" w:cs="宋体"/>
          <w:color w:val="000000"/>
        </w:rPr>
      </w:pPr>
    </w:p>
    <w:p>
      <w:pPr>
        <w:adjustRightInd w:val="0"/>
        <w:snapToGrid w:val="0"/>
        <w:spacing w:line="360" w:lineRule="auto"/>
        <w:ind w:firstLine="472" w:firstLineChars="225"/>
        <w:rPr>
          <w:rFonts w:ascii="宋体" w:hAnsi="Times New Roman" w:cs="宋体"/>
        </w:rPr>
      </w:pPr>
      <w:r>
        <w:rPr>
          <w:rFonts w:hint="eastAsia" w:ascii="宋体" w:hAnsi="Times New Roman" w:cs="宋体"/>
        </w:rPr>
        <w:t>法定代表人或</w:t>
      </w:r>
      <w:r>
        <w:rPr>
          <w:rFonts w:hint="eastAsia" w:ascii="宋体" w:hAnsi="宋体" w:cs="宋体"/>
        </w:rPr>
        <w:t>其授权代表签名：</w:t>
      </w:r>
    </w:p>
    <w:p>
      <w:pPr>
        <w:adjustRightInd w:val="0"/>
        <w:snapToGrid w:val="0"/>
        <w:spacing w:line="360" w:lineRule="auto"/>
        <w:ind w:firstLine="472" w:firstLineChars="225"/>
        <w:rPr>
          <w:rFonts w:ascii="宋体" w:hAnsi="Times New Roman" w:cs="宋体"/>
        </w:rPr>
      </w:pPr>
    </w:p>
    <w:p>
      <w:pPr>
        <w:adjustRightInd w:val="0"/>
        <w:snapToGrid w:val="0"/>
        <w:spacing w:line="360" w:lineRule="auto"/>
        <w:ind w:firstLine="472" w:firstLineChars="225"/>
        <w:rPr>
          <w:rFonts w:ascii="宋体" w:hAnsi="Times New Roman" w:cs="宋体"/>
          <w:color w:val="000000"/>
        </w:rPr>
      </w:pPr>
      <w:r>
        <w:rPr>
          <w:rFonts w:hint="eastAsia" w:ascii="宋体" w:hAnsi="宋体" w:cs="宋体"/>
          <w:color w:val="000000"/>
        </w:rPr>
        <w:t>日期：</w:t>
      </w:r>
    </w:p>
    <w:p>
      <w:pPr>
        <w:adjustRightInd w:val="0"/>
        <w:snapToGrid w:val="0"/>
        <w:spacing w:line="360" w:lineRule="auto"/>
        <w:ind w:firstLine="472" w:firstLineChars="225"/>
        <w:rPr>
          <w:rFonts w:ascii="宋体" w:hAnsi="Times New Roman" w:cs="宋体"/>
          <w:color w:val="000000"/>
        </w:rPr>
      </w:pPr>
    </w:p>
    <w:p>
      <w:pPr>
        <w:spacing w:line="360" w:lineRule="auto"/>
        <w:ind w:left="105" w:leftChars="50" w:firstLine="2"/>
        <w:rPr>
          <w:rFonts w:ascii="宋体" w:hAnsi="Times New Roman" w:cs="宋体"/>
        </w:rPr>
      </w:pPr>
    </w:p>
    <w:p>
      <w:pPr>
        <w:rPr>
          <w:rFonts w:ascii="宋体" w:hAnsi="Times New Roman"/>
        </w:rPr>
        <w:sectPr>
          <w:pgSz w:w="11906" w:h="16838"/>
          <w:pgMar w:top="1135" w:right="1135" w:bottom="1135" w:left="1135" w:header="685" w:footer="567" w:gutter="0"/>
          <w:cols w:space="720" w:num="1"/>
          <w:docGrid w:type="lines" w:linePitch="312" w:charSpace="0"/>
        </w:sectPr>
      </w:pPr>
    </w:p>
    <w:p>
      <w:pPr>
        <w:numPr>
          <w:ilvl w:val="0"/>
          <w:numId w:val="3"/>
        </w:numPr>
        <w:spacing w:line="400" w:lineRule="exact"/>
        <w:rPr>
          <w:rFonts w:ascii="黑体" w:hAnsi="Times New Roman" w:eastAsia="黑体" w:cs="黑体"/>
          <w:sz w:val="28"/>
          <w:szCs w:val="28"/>
        </w:rPr>
      </w:pPr>
      <w:bookmarkStart w:id="87" w:name="_Toc50703722"/>
      <w:bookmarkStart w:id="88" w:name="_Toc43264516"/>
      <w:bookmarkStart w:id="89" w:name="_Toc50691029"/>
    </w:p>
    <w:p>
      <w:pPr>
        <w:jc w:val="center"/>
        <w:outlineLvl w:val="1"/>
        <w:rPr>
          <w:rFonts w:ascii="黑体" w:hAnsi="宋体" w:eastAsia="黑体" w:cs="黑体"/>
          <w:kern w:val="0"/>
          <w:sz w:val="32"/>
          <w:szCs w:val="32"/>
        </w:rPr>
      </w:pPr>
      <w:bookmarkStart w:id="90" w:name="_Toc237145559"/>
      <w:r>
        <w:rPr>
          <w:rFonts w:hint="eastAsia" w:ascii="黑体" w:hAnsi="宋体" w:eastAsia="黑体" w:cs="黑体"/>
          <w:kern w:val="0"/>
          <w:sz w:val="32"/>
          <w:szCs w:val="32"/>
        </w:rPr>
        <w:t>供应商资格声明函</w:t>
      </w:r>
      <w:bookmarkEnd w:id="90"/>
    </w:p>
    <w:p>
      <w:pPr>
        <w:spacing w:line="360" w:lineRule="auto"/>
        <w:ind w:firstLine="420"/>
        <w:rPr>
          <w:rFonts w:ascii="Times New Roman" w:hAnsi="Times New Roman" w:cs="宋体"/>
        </w:rPr>
      </w:pPr>
      <w:r>
        <w:rPr>
          <w:rFonts w:hint="eastAsia" w:ascii="Times New Roman" w:hAnsi="Times New Roman" w:cs="宋体"/>
        </w:rPr>
        <w:t>广西南宁技师学院：</w:t>
      </w:r>
    </w:p>
    <w:p>
      <w:pPr>
        <w:spacing w:line="360" w:lineRule="auto"/>
        <w:ind w:firstLine="420"/>
        <w:rPr>
          <w:rFonts w:ascii="Times New Roman" w:hAnsi="Times New Roman" w:cs="宋体"/>
        </w:rPr>
      </w:pPr>
      <w:r>
        <w:rPr>
          <w:rFonts w:hint="eastAsia" w:ascii="Times New Roman" w:hAnsi="Times New Roman" w:cs="宋体"/>
        </w:rPr>
        <w:t>关于贵单位</w:t>
      </w:r>
      <w:r>
        <w:rPr>
          <w:rFonts w:hint="eastAsia" w:ascii="Times New Roman" w:hAnsi="Times New Roman" w:cs="宋体"/>
          <w:u w:val="single"/>
        </w:rPr>
        <w:t xml:space="preserve">    </w:t>
      </w:r>
      <w:r>
        <w:rPr>
          <w:rFonts w:hint="eastAsia" w:ascii="Times New Roman" w:hAnsi="Times New Roman" w:cs="宋体"/>
        </w:rPr>
        <w:t>年</w:t>
      </w:r>
      <w:r>
        <w:rPr>
          <w:rFonts w:hint="eastAsia" w:ascii="Times New Roman" w:hAnsi="Times New Roman" w:cs="宋体"/>
          <w:u w:val="single"/>
        </w:rPr>
        <w:t xml:space="preserve">   </w:t>
      </w:r>
      <w:r>
        <w:rPr>
          <w:rFonts w:hint="eastAsia" w:ascii="Times New Roman" w:hAnsi="Times New Roman" w:cs="宋体"/>
        </w:rPr>
        <w:t>月</w:t>
      </w:r>
      <w:r>
        <w:rPr>
          <w:rFonts w:hint="eastAsia" w:ascii="Times New Roman" w:hAnsi="Times New Roman" w:cs="宋体"/>
          <w:u w:val="single"/>
        </w:rPr>
        <w:t xml:space="preserve">   </w:t>
      </w:r>
      <w:r>
        <w:rPr>
          <w:rFonts w:hint="eastAsia" w:ascii="Times New Roman" w:hAnsi="Times New Roman" w:cs="宋体"/>
        </w:rPr>
        <w:t>日发布</w:t>
      </w:r>
      <w:r>
        <w:rPr>
          <w:rFonts w:ascii="Times New Roman" w:hAnsi="Times New Roman" w:cs="宋体"/>
          <w:u w:val="single"/>
        </w:rPr>
        <w:t xml:space="preserve">                         </w:t>
      </w:r>
      <w:r>
        <w:rPr>
          <w:rFonts w:hint="eastAsia" w:ascii="Times New Roman" w:hAnsi="Times New Roman" w:cs="宋体"/>
        </w:rPr>
        <w:t>项目（项目编号：</w:t>
      </w:r>
      <w:r>
        <w:rPr>
          <w:rFonts w:hint="eastAsia" w:ascii="Times New Roman" w:hAnsi="Times New Roman" w:cs="宋体"/>
          <w:u w:val="single"/>
        </w:rPr>
        <w:t xml:space="preserve">    </w:t>
      </w:r>
      <w:r>
        <w:rPr>
          <w:rFonts w:ascii="Times New Roman" w:hAnsi="Times New Roman" w:cs="宋体"/>
          <w:u w:val="single"/>
        </w:rPr>
        <w:t xml:space="preserve">         </w:t>
      </w:r>
      <w:r>
        <w:rPr>
          <w:rFonts w:hint="eastAsia" w:ascii="Times New Roman" w:hAnsi="Times New Roman" w:cs="宋体"/>
          <w:u w:val="single"/>
        </w:rPr>
        <w:t xml:space="preserve">    </w:t>
      </w:r>
      <w:r>
        <w:rPr>
          <w:rFonts w:hint="eastAsia" w:ascii="Times New Roman" w:hAnsi="Times New Roman" w:cs="宋体"/>
        </w:rPr>
        <w:t>）的采购公告，本公司（企业）愿意参加报价，并声明：</w:t>
      </w:r>
    </w:p>
    <w:p>
      <w:pPr>
        <w:spacing w:line="360" w:lineRule="auto"/>
        <w:ind w:firstLine="420"/>
        <w:rPr>
          <w:rFonts w:ascii="Times New Roman" w:hAnsi="Times New Roman" w:cs="宋体"/>
        </w:rPr>
      </w:pPr>
      <w:r>
        <w:rPr>
          <w:rFonts w:hint="eastAsia" w:ascii="Times New Roman" w:hAnsi="Times New Roman" w:cs="宋体"/>
        </w:rPr>
        <w:t>一、本公司（企业）具备《中华人民共和国政府采购法》第二十二条规定的条件：</w:t>
      </w:r>
    </w:p>
    <w:p>
      <w:pPr>
        <w:spacing w:line="360" w:lineRule="auto"/>
        <w:ind w:firstLine="420"/>
        <w:rPr>
          <w:rFonts w:ascii="Times New Roman" w:hAnsi="Times New Roman" w:cs="宋体"/>
        </w:rPr>
      </w:pPr>
      <w:r>
        <w:rPr>
          <w:rFonts w:hint="eastAsia" w:ascii="Times New Roman" w:hAnsi="Times New Roman" w:cs="宋体"/>
        </w:rPr>
        <w:t>（一）具有独立承担民事责任的能力；</w:t>
      </w:r>
    </w:p>
    <w:p>
      <w:pPr>
        <w:spacing w:line="360" w:lineRule="auto"/>
        <w:ind w:firstLine="420"/>
        <w:rPr>
          <w:rFonts w:ascii="Times New Roman" w:hAnsi="Times New Roman" w:cs="宋体"/>
        </w:rPr>
      </w:pPr>
      <w:r>
        <w:rPr>
          <w:rFonts w:hint="eastAsia" w:ascii="Times New Roman" w:hAnsi="Times New Roman" w:cs="宋体"/>
        </w:rPr>
        <w:t>（二）具有良好的商业信誉和健全的财务会计制度；</w:t>
      </w:r>
    </w:p>
    <w:p>
      <w:pPr>
        <w:spacing w:line="360" w:lineRule="auto"/>
        <w:ind w:firstLine="420"/>
        <w:rPr>
          <w:rFonts w:ascii="Times New Roman" w:hAnsi="Times New Roman" w:cs="宋体"/>
        </w:rPr>
      </w:pPr>
      <w:r>
        <w:rPr>
          <w:rFonts w:hint="eastAsia" w:ascii="Times New Roman" w:hAnsi="Times New Roman" w:cs="宋体"/>
        </w:rPr>
        <w:t>（三）具有履行合同所必需的设备和专业技术能力；</w:t>
      </w:r>
    </w:p>
    <w:p>
      <w:pPr>
        <w:spacing w:line="360" w:lineRule="auto"/>
        <w:ind w:firstLine="420"/>
        <w:rPr>
          <w:rFonts w:ascii="Times New Roman" w:hAnsi="Times New Roman" w:cs="宋体"/>
        </w:rPr>
      </w:pPr>
      <w:r>
        <w:rPr>
          <w:rFonts w:hint="eastAsia" w:ascii="Times New Roman" w:hAnsi="Times New Roman" w:cs="宋体"/>
        </w:rPr>
        <w:t>（四）有依法缴纳税收和社会保障资金的良好记录；</w:t>
      </w:r>
    </w:p>
    <w:p>
      <w:pPr>
        <w:spacing w:line="360" w:lineRule="auto"/>
        <w:ind w:firstLine="420" w:firstLineChars="200"/>
        <w:rPr>
          <w:rFonts w:ascii="Times New Roman" w:hAnsi="Times New Roman" w:cs="宋体"/>
        </w:rPr>
      </w:pPr>
      <w:r>
        <w:rPr>
          <w:rFonts w:hint="eastAsia" w:ascii="Times New Roman" w:hAnsi="Times New Roman" w:cs="宋体"/>
        </w:rPr>
        <w:t>（五）参加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line="360" w:lineRule="auto"/>
        <w:ind w:firstLine="420"/>
        <w:rPr>
          <w:rFonts w:ascii="Times New Roman" w:hAnsi="Times New Roman" w:cs="宋体"/>
        </w:rPr>
      </w:pPr>
      <w:r>
        <w:rPr>
          <w:rFonts w:hint="eastAsia" w:ascii="Times New Roman" w:hAnsi="Times New Roman" w:cs="宋体"/>
        </w:rPr>
        <w:t>（六）法律、行政法规规定的其他条件。</w:t>
      </w:r>
    </w:p>
    <w:p>
      <w:pPr>
        <w:spacing w:line="360" w:lineRule="auto"/>
        <w:ind w:firstLine="420"/>
        <w:rPr>
          <w:rFonts w:ascii="Times New Roman" w:hAnsi="Times New Roman" w:cs="宋体"/>
        </w:rPr>
      </w:pPr>
      <w:r>
        <w:rPr>
          <w:rFonts w:hint="eastAsia" w:ascii="Times New Roman" w:hAnsi="Times New Roman" w:cs="宋体"/>
        </w:rPr>
        <w:t>二、本公司（企业）未被广西南宁技师学院曝光或记录供应商不良行为。</w:t>
      </w:r>
    </w:p>
    <w:p>
      <w:pPr>
        <w:spacing w:line="360" w:lineRule="auto"/>
        <w:ind w:firstLine="420"/>
        <w:rPr>
          <w:rFonts w:ascii="Times New Roman" w:hAnsi="Times New Roman" w:cs="宋体"/>
        </w:rPr>
      </w:pPr>
      <w:r>
        <w:rPr>
          <w:rFonts w:hint="eastAsia" w:ascii="Times New Roman" w:hAnsi="Times New Roman" w:cs="宋体"/>
        </w:rPr>
        <w:t>二、根据《中华人民共和国政府采购法实施条例》的规定，本公司（企业）如为采购项目（包组） 提供整体设计、规范编制或者项目管理、监理、检测等服务的供应商，不再参加该采购项目的其他采购活动。</w:t>
      </w:r>
    </w:p>
    <w:p>
      <w:pPr>
        <w:spacing w:line="360" w:lineRule="auto"/>
        <w:ind w:firstLine="420"/>
        <w:rPr>
          <w:rFonts w:ascii="Times New Roman" w:hAnsi="Times New Roman" w:cs="宋体"/>
        </w:rPr>
      </w:pPr>
      <w:r>
        <w:rPr>
          <w:rFonts w:hint="eastAsia" w:ascii="Times New Roman" w:hAnsi="Times New Roman" w:cs="宋体"/>
        </w:rPr>
        <w:t>三、我方承诺单位负责人为同一人或者存在直接控股、管理关系的不同供应商，不得同时参加本采购项目报价。</w:t>
      </w:r>
    </w:p>
    <w:p>
      <w:pPr>
        <w:spacing w:line="360" w:lineRule="auto"/>
        <w:ind w:firstLine="420"/>
        <w:rPr>
          <w:rFonts w:ascii="Times New Roman" w:hAnsi="Times New Roman" w:cs="宋体"/>
        </w:rPr>
      </w:pPr>
      <w:r>
        <w:rPr>
          <w:rFonts w:hint="eastAsia" w:ascii="Times New Roman" w:hAnsi="Times New Roman" w:cs="宋体"/>
        </w:rPr>
        <w:t>本公司（企业）承诺在本次采购活动中，如有违法、违规、弄虚作假行为，所造成的损失、不良后果及法律责任，一律由我公司（企业）承担。</w:t>
      </w:r>
    </w:p>
    <w:p>
      <w:pPr>
        <w:spacing w:line="360" w:lineRule="auto"/>
        <w:ind w:firstLine="420"/>
        <w:rPr>
          <w:rFonts w:ascii="Times New Roman" w:hAnsi="Times New Roman" w:cs="宋体"/>
        </w:rPr>
      </w:pPr>
      <w:r>
        <w:rPr>
          <w:rFonts w:hint="eastAsia" w:ascii="Times New Roman" w:hAnsi="Times New Roman" w:cs="宋体"/>
        </w:rPr>
        <w:t>特此声明！</w:t>
      </w:r>
    </w:p>
    <w:p>
      <w:pPr>
        <w:spacing w:line="360" w:lineRule="auto"/>
        <w:ind w:firstLine="420"/>
        <w:rPr>
          <w:rFonts w:hint="eastAsia" w:ascii="Times New Roman" w:hAnsi="Times New Roman" w:cs="宋体"/>
        </w:rPr>
      </w:pPr>
      <w:r>
        <w:rPr>
          <w:rFonts w:hint="eastAsia" w:ascii="Times New Roman" w:hAnsi="Times New Roman" w:cs="宋体"/>
        </w:rPr>
        <w:t>备注：1. 本声明函如有虚假或与事实不符的，作无效报价处理。</w:t>
      </w:r>
    </w:p>
    <w:p>
      <w:pPr>
        <w:pStyle w:val="2"/>
        <w:rPr>
          <w:rFonts w:hint="eastAsia"/>
          <w:lang w:eastAsia="zh-CN"/>
        </w:rPr>
      </w:pPr>
    </w:p>
    <w:p>
      <w:pPr>
        <w:adjustRightInd w:val="0"/>
        <w:snapToGrid w:val="0"/>
        <w:spacing w:line="360" w:lineRule="auto"/>
        <w:ind w:left="480"/>
        <w:rPr>
          <w:rFonts w:ascii="宋体" w:hAnsi="宋体" w:cs="宋体"/>
          <w:color w:val="000000"/>
        </w:rPr>
      </w:pPr>
      <w:r>
        <w:rPr>
          <w:rFonts w:hint="eastAsia" w:ascii="宋体" w:hAnsi="宋体" w:cs="宋体"/>
          <w:color w:val="000000"/>
        </w:rPr>
        <w:t>供应商名称（公章）:</w:t>
      </w:r>
    </w:p>
    <w:p>
      <w:pPr>
        <w:adjustRightInd w:val="0"/>
        <w:snapToGrid w:val="0"/>
        <w:spacing w:line="360" w:lineRule="auto"/>
        <w:ind w:firstLine="472" w:firstLineChars="225"/>
        <w:rPr>
          <w:rFonts w:ascii="宋体" w:hAnsi="Times New Roman" w:cs="宋体"/>
        </w:rPr>
      </w:pPr>
      <w:r>
        <w:rPr>
          <w:rFonts w:hint="eastAsia" w:ascii="宋体" w:hAnsi="Times New Roman" w:cs="宋体"/>
        </w:rPr>
        <w:t>法定代表人或</w:t>
      </w:r>
      <w:r>
        <w:rPr>
          <w:rFonts w:hint="eastAsia" w:ascii="宋体" w:hAnsi="宋体" w:cs="宋体"/>
        </w:rPr>
        <w:t>其授权代表签名：</w:t>
      </w:r>
    </w:p>
    <w:p>
      <w:pPr>
        <w:adjustRightInd w:val="0"/>
        <w:snapToGrid w:val="0"/>
        <w:spacing w:line="360" w:lineRule="auto"/>
        <w:ind w:firstLine="472" w:firstLineChars="225"/>
        <w:rPr>
          <w:rFonts w:ascii="宋体" w:hAnsi="Times New Roman" w:cs="宋体"/>
        </w:rPr>
      </w:pPr>
      <w:r>
        <w:rPr>
          <w:rFonts w:hint="eastAsia" w:ascii="宋体" w:hAnsi="宋体" w:cs="宋体"/>
          <w:color w:val="000000"/>
        </w:rPr>
        <w:t>日期：</w:t>
      </w:r>
    </w:p>
    <w:p>
      <w:pPr>
        <w:spacing w:line="360" w:lineRule="auto"/>
        <w:ind w:firstLine="525" w:firstLineChars="250"/>
        <w:rPr>
          <w:rFonts w:ascii="宋体" w:hAnsi="Times New Roman" w:cs="宋体"/>
          <w:color w:val="000000"/>
          <w:lang w:val="zh-CN"/>
        </w:rPr>
      </w:pPr>
    </w:p>
    <w:p>
      <w:pPr>
        <w:pStyle w:val="35"/>
        <w:ind w:firstLine="210"/>
        <w:rPr>
          <w:lang w:val="zh-CN"/>
        </w:rPr>
      </w:pPr>
    </w:p>
    <w:p>
      <w:pPr>
        <w:pStyle w:val="35"/>
        <w:ind w:firstLine="210"/>
        <w:rPr>
          <w:lang w:val="zh-CN"/>
        </w:rPr>
      </w:pPr>
    </w:p>
    <w:p>
      <w:pPr>
        <w:spacing w:line="360" w:lineRule="auto"/>
        <w:ind w:firstLine="527" w:firstLineChars="250"/>
        <w:rPr>
          <w:rFonts w:ascii="宋体" w:hAnsi="Times New Roman" w:cs="宋体"/>
          <w:b/>
          <w:bCs/>
          <w:color w:val="000000"/>
          <w:lang w:val="zh-CN"/>
        </w:rPr>
      </w:pPr>
      <w:r>
        <w:rPr>
          <w:rFonts w:hint="eastAsia" w:ascii="宋体" w:hAnsi="Times New Roman" w:cs="宋体"/>
          <w:b/>
          <w:bCs/>
          <w:color w:val="000000"/>
          <w:lang w:val="zh-CN"/>
        </w:rPr>
        <w:t>附件：</w:t>
      </w:r>
    </w:p>
    <w:p>
      <w:pPr>
        <w:spacing w:line="360" w:lineRule="auto"/>
        <w:ind w:left="425" w:hanging="5"/>
        <w:rPr>
          <w:rFonts w:ascii="宋体" w:hAnsi="宋体" w:cs="宋体"/>
        </w:rPr>
      </w:pPr>
      <w:r>
        <w:rPr>
          <w:rFonts w:hint="eastAsia" w:ascii="宋体" w:hAnsi="宋体" w:cs="宋体"/>
        </w:rPr>
        <w:t>(1)</w:t>
      </w:r>
      <w:r>
        <w:rPr>
          <w:rFonts w:hint="eastAsia" w:ascii="宋体" w:hAnsi="宋体" w:cs="宋体"/>
        </w:rPr>
        <w:tab/>
      </w:r>
      <w:r>
        <w:rPr>
          <w:rFonts w:hint="eastAsia" w:ascii="宋体" w:hAnsi="宋体" w:cs="宋体"/>
        </w:rPr>
        <w:t>提供在中华人民共和国境内注册的法人或其他组织的营业执照或事业单位法人证书或社会团体法人登记证书复印件；自然人</w:t>
      </w:r>
      <w:r>
        <w:rPr>
          <w:rFonts w:hint="eastAsia" w:ascii="宋体" w:hAnsi="宋体" w:cs="宋体"/>
          <w:lang w:val="en-US" w:eastAsia="zh-CN"/>
        </w:rPr>
        <w:t>参与本项目</w:t>
      </w:r>
      <w:r>
        <w:rPr>
          <w:rFonts w:hint="eastAsia" w:ascii="宋体" w:hAnsi="宋体" w:cs="宋体"/>
        </w:rPr>
        <w:t>的须提供自然人身份证复印件；分支机构</w:t>
      </w:r>
      <w:r>
        <w:rPr>
          <w:rFonts w:hint="eastAsia" w:ascii="宋体" w:hAnsi="宋体" w:cs="宋体"/>
          <w:lang w:val="en-US" w:eastAsia="zh-CN"/>
        </w:rPr>
        <w:t>参与本项目</w:t>
      </w:r>
      <w:r>
        <w:rPr>
          <w:rFonts w:hint="eastAsia" w:ascii="宋体" w:hAnsi="宋体" w:cs="宋体"/>
        </w:rPr>
        <w:t>，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pPr>
        <w:spacing w:line="360" w:lineRule="auto"/>
        <w:ind w:left="425" w:hanging="5"/>
        <w:rPr>
          <w:rFonts w:ascii="宋体" w:hAnsi="宋体" w:cs="宋体"/>
        </w:rPr>
      </w:pPr>
      <w:r>
        <w:rPr>
          <w:rFonts w:hint="eastAsia" w:ascii="宋体" w:hAnsi="宋体" w:cs="宋体"/>
        </w:rPr>
        <w:t>(2)</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截止日前在“国家企业信用信息公示系统” (www.gsxt.gov.cn) 查询信息中的“营业执照信息”、“股东及出资信息”、“主要人员信息”截图加盖公章；</w:t>
      </w:r>
    </w:p>
    <w:p>
      <w:pPr>
        <w:spacing w:line="360" w:lineRule="auto"/>
        <w:ind w:left="425" w:hanging="5"/>
        <w:rPr>
          <w:rFonts w:ascii="宋体" w:hAnsi="宋体" w:cs="宋体"/>
        </w:rPr>
      </w:pPr>
      <w:r>
        <w:rPr>
          <w:rFonts w:hint="eastAsia" w:ascii="宋体" w:hAnsi="宋体" w:cs="宋体"/>
        </w:rPr>
        <w:t>(3)</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截止日前在“信用中国”网站（www.creditchina.gov.cn）查询结果截图复印件加盖公章；</w:t>
      </w:r>
    </w:p>
    <w:p>
      <w:pPr>
        <w:spacing w:line="360" w:lineRule="auto"/>
        <w:ind w:left="425" w:hanging="5"/>
        <w:rPr>
          <w:rFonts w:ascii="宋体" w:hAnsi="宋体" w:cs="宋体"/>
        </w:rPr>
      </w:pPr>
      <w:r>
        <w:rPr>
          <w:rFonts w:hint="eastAsia" w:ascii="宋体" w:hAnsi="宋体" w:cs="宋体"/>
        </w:rPr>
        <w:t>(4)</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截止日前在中国政府采购网(www.ccgp.gov.cn) 查询结果截图复印件加盖公章；</w:t>
      </w:r>
    </w:p>
    <w:p>
      <w:pPr>
        <w:spacing w:line="360" w:lineRule="auto"/>
        <w:ind w:left="425" w:hanging="5"/>
        <w:rPr>
          <w:rFonts w:ascii="宋体" w:hAnsi="宋体" w:cs="宋体"/>
        </w:rPr>
      </w:pPr>
      <w:r>
        <w:rPr>
          <w:rFonts w:hint="eastAsia" w:ascii="宋体" w:hAnsi="宋体" w:cs="宋体"/>
        </w:rPr>
        <w:t>(5)</w:t>
      </w:r>
      <w:r>
        <w:rPr>
          <w:rFonts w:hint="eastAsia" w:ascii="宋体" w:hAnsi="宋体" w:cs="宋体"/>
        </w:rPr>
        <w:tab/>
      </w:r>
      <w:r>
        <w:rPr>
          <w:rFonts w:hint="eastAsia" w:ascii="宋体" w:hAnsi="宋体" w:cs="宋体"/>
        </w:rPr>
        <w:t>资格条件要求的其他文件（如有），提供相应复印件加盖公章；</w:t>
      </w: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pStyle w:val="2"/>
        <w:rPr>
          <w:rFonts w:ascii="宋体" w:hAnsi="宋体" w:cs="宋体"/>
        </w:rPr>
      </w:pPr>
    </w:p>
    <w:p>
      <w:pPr>
        <w:pStyle w:val="2"/>
        <w:rPr>
          <w:rFonts w:ascii="宋体" w:hAnsi="宋体" w:cs="宋体"/>
        </w:rPr>
      </w:pPr>
    </w:p>
    <w:p>
      <w:pPr>
        <w:spacing w:line="360" w:lineRule="auto"/>
        <w:rPr>
          <w:rFonts w:ascii="宋体" w:hAnsi="宋体" w:cs="宋体"/>
        </w:rPr>
      </w:pPr>
    </w:p>
    <w:p>
      <w:pPr>
        <w:numPr>
          <w:ilvl w:val="0"/>
          <w:numId w:val="3"/>
        </w:numPr>
        <w:spacing w:line="400" w:lineRule="exact"/>
        <w:rPr>
          <w:rFonts w:ascii="黑体" w:hAnsi="Times New Roman" w:eastAsia="黑体" w:cs="黑体"/>
          <w:sz w:val="28"/>
          <w:szCs w:val="28"/>
        </w:rPr>
      </w:pPr>
    </w:p>
    <w:p>
      <w:pPr>
        <w:jc w:val="center"/>
        <w:outlineLvl w:val="1"/>
        <w:rPr>
          <w:rFonts w:ascii="黑体" w:hAnsi="宋体" w:eastAsia="黑体" w:cs="黑体"/>
          <w:kern w:val="0"/>
          <w:sz w:val="32"/>
          <w:szCs w:val="32"/>
        </w:rPr>
      </w:pPr>
      <w:r>
        <w:rPr>
          <w:rFonts w:hint="eastAsia" w:ascii="黑体" w:hAnsi="宋体" w:eastAsia="黑体" w:cs="黑体"/>
          <w:kern w:val="0"/>
          <w:sz w:val="32"/>
          <w:szCs w:val="32"/>
        </w:rPr>
        <w:t>无围标、串标行为承诺书</w:t>
      </w:r>
    </w:p>
    <w:p>
      <w:pPr>
        <w:spacing w:before="312" w:beforeLines="100" w:after="156" w:afterLines="50" w:line="360" w:lineRule="auto"/>
        <w:ind w:firstLine="420" w:firstLineChars="200"/>
        <w:rPr>
          <w:rFonts w:ascii="宋体" w:cs="Times New Roman"/>
        </w:rPr>
      </w:pPr>
      <w:r>
        <w:rPr>
          <w:rFonts w:hint="eastAsia" w:ascii="宋体" w:hAnsi="宋体" w:cs="宋体"/>
        </w:rPr>
        <w:t>本公司郑重承诺：本公司在参加本次</w:t>
      </w:r>
      <w:r>
        <w:rPr>
          <w:rFonts w:ascii="宋体" w:hAnsi="宋体" w:cs="宋体"/>
          <w:u w:val="single"/>
        </w:rPr>
        <w:t xml:space="preserve"> </w:t>
      </w:r>
      <w:r>
        <w:rPr>
          <w:rFonts w:hint="eastAsia" w:ascii="宋体" w:hAnsi="宋体" w:cs="宋体"/>
          <w:u w:val="single"/>
        </w:rPr>
        <w:t>项目名称：</w:t>
      </w:r>
      <w:r>
        <w:rPr>
          <w:rFonts w:ascii="宋体" w:hAnsi="宋体" w:cs="宋体"/>
          <w:u w:val="single"/>
        </w:rPr>
        <w:t xml:space="preserve">         </w:t>
      </w:r>
      <w:r>
        <w:rPr>
          <w:rFonts w:hint="eastAsia" w:ascii="宋体" w:hAnsi="宋体" w:cs="宋体"/>
        </w:rPr>
        <w:t>【项目编号：</w:t>
      </w:r>
      <w:r>
        <w:rPr>
          <w:rFonts w:ascii="宋体" w:hAnsi="宋体" w:cs="宋体"/>
          <w:u w:val="single"/>
        </w:rPr>
        <w:t xml:space="preserve">            </w:t>
      </w:r>
      <w:r>
        <w:rPr>
          <w:rFonts w:hint="eastAsia" w:ascii="宋体" w:hAnsi="宋体" w:cs="宋体"/>
        </w:rPr>
        <w:t>】活动中，无以下围标、串标行为。</w:t>
      </w:r>
    </w:p>
    <w:p>
      <w:pPr>
        <w:spacing w:line="360" w:lineRule="auto"/>
        <w:ind w:left="720" w:hanging="720"/>
        <w:rPr>
          <w:rFonts w:ascii="宋体" w:cs="Times New Roman"/>
        </w:rPr>
      </w:pPr>
      <w:r>
        <w:rPr>
          <w:rFonts w:ascii="宋体" w:hAnsi="宋体" w:cs="宋体"/>
        </w:rPr>
        <w:t xml:space="preserve">    1</w:t>
      </w:r>
      <w:r>
        <w:rPr>
          <w:rFonts w:hint="eastAsia" w:ascii="宋体" w:hAnsi="宋体" w:cs="宋体"/>
        </w:rPr>
        <w:t>）不同供应商的响应文件由同一单位或者个人编制；</w:t>
      </w:r>
    </w:p>
    <w:p>
      <w:pPr>
        <w:spacing w:line="360" w:lineRule="auto"/>
        <w:ind w:left="720" w:hanging="720"/>
        <w:rPr>
          <w:rFonts w:ascii="宋体" w:cs="Times New Roman"/>
        </w:rPr>
      </w:pPr>
      <w:r>
        <w:rPr>
          <w:rFonts w:ascii="宋体" w:hAnsi="宋体" w:cs="宋体"/>
        </w:rPr>
        <w:t xml:space="preserve">    2</w:t>
      </w:r>
      <w:r>
        <w:rPr>
          <w:rFonts w:hint="eastAsia" w:ascii="宋体" w:hAnsi="宋体" w:cs="宋体"/>
        </w:rPr>
        <w:t>）不同供应商委托同一单位或者个人办理投标报价事宜；</w:t>
      </w:r>
    </w:p>
    <w:p>
      <w:pPr>
        <w:spacing w:line="360" w:lineRule="auto"/>
        <w:ind w:left="720" w:hanging="720"/>
        <w:rPr>
          <w:rFonts w:ascii="宋体" w:cs="Times New Roman"/>
        </w:rPr>
      </w:pPr>
      <w:r>
        <w:rPr>
          <w:rFonts w:ascii="宋体" w:hAnsi="宋体" w:cs="宋体"/>
        </w:rPr>
        <w:t xml:space="preserve">    3</w:t>
      </w:r>
      <w:r>
        <w:rPr>
          <w:rFonts w:hint="eastAsia" w:ascii="宋体" w:hAnsi="宋体" w:cs="宋体"/>
        </w:rPr>
        <w:t>）不同供应商的响应文件载明的项目管理成员或者联系人员为同一人；</w:t>
      </w:r>
    </w:p>
    <w:p>
      <w:pPr>
        <w:spacing w:line="360" w:lineRule="auto"/>
        <w:ind w:left="720" w:hanging="720"/>
        <w:rPr>
          <w:rFonts w:ascii="宋体" w:cs="Times New Roman"/>
        </w:rPr>
      </w:pPr>
      <w:r>
        <w:rPr>
          <w:rFonts w:ascii="宋体" w:hAnsi="宋体" w:cs="宋体"/>
        </w:rPr>
        <w:t xml:space="preserve">    4</w:t>
      </w:r>
      <w:r>
        <w:rPr>
          <w:rFonts w:hint="eastAsia" w:ascii="宋体" w:hAnsi="宋体" w:cs="宋体"/>
        </w:rPr>
        <w:t>）不同供应商的响应文件异常一致或者报价呈规律性差异；</w:t>
      </w:r>
    </w:p>
    <w:p>
      <w:pPr>
        <w:spacing w:line="360" w:lineRule="auto"/>
        <w:ind w:left="720" w:hanging="720"/>
        <w:rPr>
          <w:rFonts w:ascii="宋体" w:cs="Times New Roman"/>
        </w:rPr>
      </w:pPr>
      <w:r>
        <w:rPr>
          <w:rFonts w:ascii="宋体" w:hAnsi="宋体" w:cs="宋体"/>
        </w:rPr>
        <w:t xml:space="preserve">    5</w:t>
      </w:r>
      <w:r>
        <w:rPr>
          <w:rFonts w:hint="eastAsia" w:ascii="宋体" w:hAnsi="宋体" w:cs="宋体"/>
        </w:rPr>
        <w:t>）不同供应商的响应文件相互混装；</w:t>
      </w:r>
    </w:p>
    <w:p>
      <w:pPr>
        <w:spacing w:line="360" w:lineRule="auto"/>
        <w:ind w:left="720" w:hanging="720"/>
        <w:jc w:val="left"/>
        <w:rPr>
          <w:rFonts w:ascii="宋体" w:cs="Times New Roman"/>
        </w:rPr>
      </w:pPr>
      <w:r>
        <w:rPr>
          <w:rFonts w:ascii="宋体" w:hAnsi="宋体" w:cs="宋体"/>
        </w:rPr>
        <w:t xml:space="preserve">   </w:t>
      </w:r>
      <w:r>
        <w:rPr>
          <w:rFonts w:hint="eastAsia" w:ascii="宋体" w:hAnsi="宋体" w:cs="宋体"/>
        </w:rPr>
        <w:t xml:space="preserve"> </w:t>
      </w:r>
      <w:r>
        <w:rPr>
          <w:rFonts w:hint="eastAsia" w:ascii="宋体" w:hAnsi="宋体" w:cs="宋体"/>
          <w:lang w:val="en-US" w:eastAsia="zh-CN"/>
        </w:rPr>
        <w:t>6</w:t>
      </w:r>
      <w:r>
        <w:rPr>
          <w:rFonts w:hint="eastAsia" w:ascii="宋体" w:hAnsi="宋体" w:cs="宋体"/>
        </w:rPr>
        <w:t>）不同供应商的董事、监事、高管、单位负责人为同一人或者存在控股、管理关系的不同单位参加同一包组采购项目报价；</w:t>
      </w:r>
    </w:p>
    <w:p>
      <w:pPr>
        <w:spacing w:line="360" w:lineRule="auto"/>
        <w:ind w:left="720" w:hanging="720"/>
        <w:rPr>
          <w:rFonts w:ascii="宋体" w:cs="Times New Roman"/>
        </w:rPr>
      </w:pPr>
      <w:r>
        <w:rPr>
          <w:rFonts w:ascii="宋体" w:hAnsi="宋体" w:cs="宋体"/>
        </w:rPr>
        <w:t xml:space="preserve">    </w:t>
      </w:r>
      <w:r>
        <w:rPr>
          <w:rFonts w:hint="eastAsia" w:ascii="宋体" w:hAnsi="宋体" w:cs="宋体"/>
          <w:lang w:val="en-US" w:eastAsia="zh-CN"/>
        </w:rPr>
        <w:t>7</w:t>
      </w:r>
      <w:r>
        <w:rPr>
          <w:rFonts w:hint="eastAsia" w:ascii="宋体" w:hAnsi="宋体" w:cs="宋体"/>
        </w:rPr>
        <w:t>）法律法规界定的其他围标串标行为。</w:t>
      </w:r>
    </w:p>
    <w:p>
      <w:pPr>
        <w:spacing w:line="360" w:lineRule="auto"/>
        <w:ind w:left="720" w:hanging="720"/>
        <w:rPr>
          <w:rFonts w:ascii="宋体" w:cs="Times New Roman"/>
        </w:rPr>
      </w:pPr>
    </w:p>
    <w:p>
      <w:pPr>
        <w:spacing w:line="360" w:lineRule="auto"/>
        <w:ind w:firstLine="420" w:firstLineChars="200"/>
        <w:rPr>
          <w:rFonts w:ascii="宋体" w:cs="Times New Roman"/>
        </w:rPr>
      </w:pPr>
      <w:r>
        <w:rPr>
          <w:rFonts w:hint="eastAsia" w:ascii="宋体" w:hAnsi="宋体" w:cs="宋体"/>
        </w:rPr>
        <w:t>如有发现我公司存在围标、串标行为，我公司愿承担一切法律责任。</w:t>
      </w:r>
    </w:p>
    <w:p>
      <w:pPr>
        <w:spacing w:line="360" w:lineRule="auto"/>
        <w:ind w:firstLine="420" w:firstLineChars="200"/>
        <w:rPr>
          <w:rFonts w:ascii="宋体" w:cs="Times New Roman"/>
        </w:rPr>
      </w:pPr>
      <w:r>
        <w:rPr>
          <w:rFonts w:hint="eastAsia" w:ascii="宋体" w:hAnsi="宋体" w:cs="宋体"/>
        </w:rPr>
        <w:t>特此承诺。</w:t>
      </w:r>
    </w:p>
    <w:p>
      <w:pPr>
        <w:rPr>
          <w:rFonts w:cs="Times New Roman"/>
        </w:rPr>
      </w:pPr>
    </w:p>
    <w:p>
      <w:pPr>
        <w:spacing w:line="480" w:lineRule="auto"/>
        <w:rPr>
          <w:rFonts w:cs="Times New Roman"/>
        </w:rPr>
      </w:pPr>
    </w:p>
    <w:p>
      <w:pPr>
        <w:spacing w:line="480" w:lineRule="auto"/>
      </w:pPr>
      <w:r>
        <w:rPr>
          <w:rFonts w:hint="eastAsia" w:cs="宋体"/>
        </w:rPr>
        <w:t>供应商法定代表人（或法定代表人授权代表）签字或盖私章：</w:t>
      </w:r>
      <w:r>
        <w:t xml:space="preserve">                   </w:t>
      </w:r>
    </w:p>
    <w:p>
      <w:pPr>
        <w:spacing w:line="480" w:lineRule="auto"/>
      </w:pPr>
      <w:r>
        <w:rPr>
          <w:rFonts w:hint="eastAsia" w:cs="宋体"/>
        </w:rPr>
        <w:t>供应商名称（盖公章）：</w:t>
      </w:r>
      <w:r>
        <w:t xml:space="preserve">                        </w:t>
      </w:r>
    </w:p>
    <w:p>
      <w:pPr>
        <w:spacing w:line="480" w:lineRule="auto"/>
        <w:rPr>
          <w:rFonts w:cs="Times New Roman"/>
        </w:rPr>
      </w:pPr>
      <w:r>
        <w:rPr>
          <w:rFonts w:hint="eastAsia" w:cs="宋体"/>
        </w:rPr>
        <w:t>日期：</w:t>
      </w:r>
      <w:r>
        <w:t xml:space="preserve">   </w:t>
      </w:r>
      <w:r>
        <w:rPr>
          <w:rFonts w:hint="eastAsia" w:cs="宋体"/>
        </w:rPr>
        <w:t>年</w:t>
      </w:r>
      <w:r>
        <w:t xml:space="preserve">   </w:t>
      </w:r>
      <w:r>
        <w:rPr>
          <w:rFonts w:hint="eastAsia" w:cs="宋体"/>
        </w:rPr>
        <w:t>月</w:t>
      </w:r>
      <w:r>
        <w:t xml:space="preserve">   </w:t>
      </w:r>
      <w:r>
        <w:rPr>
          <w:rFonts w:hint="eastAsia" w:cs="宋体"/>
        </w:rPr>
        <w:t>日</w:t>
      </w: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rPr>
          <w:rFonts w:ascii="宋体" w:hAnsi="宋体" w:cs="宋体"/>
        </w:rPr>
      </w:pPr>
    </w:p>
    <w:p>
      <w:pPr>
        <w:pStyle w:val="2"/>
      </w:pPr>
    </w:p>
    <w:p>
      <w:pPr>
        <w:numPr>
          <w:ilvl w:val="0"/>
          <w:numId w:val="3"/>
        </w:numPr>
        <w:spacing w:line="400" w:lineRule="exact"/>
        <w:rPr>
          <w:rFonts w:ascii="黑体" w:hAnsi="Times New Roman" w:eastAsia="黑体" w:cs="黑体"/>
          <w:sz w:val="28"/>
          <w:szCs w:val="28"/>
        </w:rPr>
      </w:pPr>
    </w:p>
    <w:p>
      <w:pPr>
        <w:pStyle w:val="4"/>
        <w:keepLines w:val="0"/>
        <w:tabs>
          <w:tab w:val="left" w:pos="851"/>
        </w:tabs>
        <w:spacing w:before="0" w:after="0" w:line="360" w:lineRule="auto"/>
        <w:ind w:left="284"/>
        <w:jc w:val="center"/>
        <w:rPr>
          <w:rFonts w:ascii="宋体" w:hAnsi="宋体" w:eastAsia="宋体"/>
        </w:rPr>
      </w:pPr>
      <w:r>
        <w:rPr>
          <w:rFonts w:hint="eastAsia" w:ascii="宋体" w:hAnsi="宋体" w:eastAsia="宋体" w:cs="宋体"/>
        </w:rPr>
        <w:t>法定代表人证明书、法定代表人授权书</w:t>
      </w:r>
    </w:p>
    <w:p>
      <w:pPr>
        <w:ind w:firstLine="632" w:firstLineChars="300"/>
        <w:rPr>
          <w:rFonts w:ascii="宋体" w:cs="Times New Roman"/>
          <w:b/>
          <w:bCs/>
        </w:rPr>
      </w:pPr>
    </w:p>
    <w:p>
      <w:pPr>
        <w:ind w:firstLine="632" w:firstLineChars="300"/>
        <w:rPr>
          <w:rFonts w:cs="Times New Roman"/>
        </w:rPr>
      </w:pPr>
      <w:r>
        <w:rPr>
          <w:rFonts w:hint="eastAsia" w:ascii="宋体" w:hAnsi="宋体" w:cs="宋体"/>
          <w:b/>
          <w:bCs/>
        </w:rPr>
        <w:t>法定代表人证明书和法定代表人授权书按以下格式填写，如由法定代表人询价报价并签署响应文件，需提供法定代表人证明书，否则需提供法定代表人证明书和法定代表人授权书。</w:t>
      </w:r>
    </w:p>
    <w:p>
      <w:pPr>
        <w:rPr>
          <w:rFonts w:ascii="宋体" w:cs="Times New Roman"/>
        </w:rPr>
      </w:pPr>
    </w:p>
    <w:p>
      <w:pPr>
        <w:widowControl/>
        <w:jc w:val="center"/>
        <w:rPr>
          <w:rFonts w:cs="Times New Roman"/>
        </w:rPr>
      </w:pPr>
      <w:bookmarkStart w:id="91" w:name="_Toc20491"/>
      <w:r>
        <w:rPr>
          <w:rFonts w:hint="eastAsia" w:ascii="黑体" w:hAnsi="宋体" w:eastAsia="黑体" w:cs="黑体"/>
          <w:color w:val="000000"/>
          <w:kern w:val="0"/>
          <w:sz w:val="31"/>
          <w:szCs w:val="31"/>
        </w:rPr>
        <w:t>法定代表人证明书</w:t>
      </w:r>
    </w:p>
    <w:p>
      <w:pPr>
        <w:widowControl/>
        <w:spacing w:line="360" w:lineRule="auto"/>
        <w:ind w:firstLine="1050" w:firstLineChars="500"/>
        <w:jc w:val="left"/>
        <w:rPr>
          <w:rFonts w:cs="Times New Roman"/>
        </w:rPr>
      </w:pPr>
      <w:r>
        <w:rPr>
          <w:rFonts w:ascii="宋体" w:hAnsi="宋体" w:cs="宋体"/>
          <w:color w:val="000000"/>
          <w:kern w:val="0"/>
        </w:rPr>
        <w:t>______________</w:t>
      </w:r>
      <w:r>
        <w:rPr>
          <w:rFonts w:hint="eastAsia" w:ascii="宋体" w:hAnsi="宋体" w:cs="宋体"/>
          <w:color w:val="000000"/>
          <w:kern w:val="0"/>
        </w:rPr>
        <w:t>同志，现任我单位</w:t>
      </w:r>
      <w:r>
        <w:rPr>
          <w:rFonts w:ascii="宋体" w:hAnsi="宋体" w:cs="宋体"/>
          <w:color w:val="000000"/>
          <w:kern w:val="0"/>
          <w:u w:val="single"/>
        </w:rPr>
        <w:t xml:space="preserve">        </w:t>
      </w:r>
      <w:r>
        <w:rPr>
          <w:rFonts w:hint="eastAsia" w:ascii="宋体" w:hAnsi="宋体" w:cs="宋体"/>
          <w:color w:val="000000"/>
          <w:kern w:val="0"/>
        </w:rPr>
        <w:t>职务，为法定代表人，特此证明。</w:t>
      </w:r>
      <w:r>
        <w:rPr>
          <w:rFonts w:ascii="宋体" w:hAnsi="宋体" w:cs="宋体"/>
          <w:color w:val="000000"/>
          <w:kern w:val="0"/>
        </w:rPr>
        <w:t xml:space="preserve"> </w:t>
      </w:r>
    </w:p>
    <w:p>
      <w:pPr>
        <w:widowControl/>
        <w:spacing w:line="360" w:lineRule="auto"/>
        <w:ind w:firstLine="630" w:firstLineChars="300"/>
        <w:jc w:val="left"/>
        <w:rPr>
          <w:rFonts w:cs="Times New Roman"/>
        </w:rPr>
      </w:pPr>
      <w:r>
        <w:rPr>
          <w:rFonts w:hint="eastAsia" w:ascii="宋体" w:hAnsi="宋体" w:cs="宋体"/>
          <w:color w:val="000000"/>
          <w:kern w:val="0"/>
        </w:rPr>
        <w:t>本证明书自签发之日起生效。</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附：</w:t>
      </w:r>
      <w:r>
        <w:rPr>
          <w:rFonts w:ascii="宋体" w:hAnsi="宋体" w:cs="宋体"/>
          <w:color w:val="000000"/>
          <w:kern w:val="0"/>
        </w:rPr>
        <w:t xml:space="preserve"> </w:t>
      </w:r>
    </w:p>
    <w:p>
      <w:pPr>
        <w:widowControl/>
        <w:spacing w:line="360" w:lineRule="auto"/>
        <w:ind w:firstLine="636" w:firstLineChars="303"/>
        <w:jc w:val="left"/>
        <w:rPr>
          <w:rFonts w:ascii="宋体" w:hAnsi="宋体" w:cs="宋体"/>
          <w:color w:val="000000"/>
          <w:kern w:val="0"/>
        </w:rPr>
      </w:pPr>
      <w:r>
        <w:rPr>
          <w:rFonts w:hint="eastAsia" w:ascii="宋体" w:hAnsi="宋体" w:cs="宋体"/>
          <w:color w:val="000000"/>
          <w:kern w:val="0"/>
        </w:rPr>
        <w:t>营业执照：</w:t>
      </w:r>
      <w:r>
        <w:rPr>
          <w:rFonts w:ascii="宋体" w:hAnsi="宋体" w:cs="宋体"/>
          <w:color w:val="000000"/>
          <w:kern w:val="0"/>
        </w:rPr>
        <w:t xml:space="preserve"> </w:t>
      </w:r>
    </w:p>
    <w:p>
      <w:pPr>
        <w:pStyle w:val="2"/>
        <w:rPr>
          <w:rFonts w:ascii="宋体" w:hAnsi="宋体" w:cs="宋体"/>
          <w:color w:val="000000"/>
          <w:kern w:val="0"/>
        </w:rPr>
      </w:pPr>
    </w:p>
    <w:p>
      <w:pPr>
        <w:pStyle w:val="2"/>
        <w:rPr>
          <w:rFonts w:ascii="宋体" w:hAnsi="宋体" w:cs="宋体"/>
          <w:color w:val="000000"/>
          <w:kern w:val="0"/>
        </w:rPr>
      </w:pPr>
    </w:p>
    <w:p>
      <w:pPr>
        <w:pStyle w:val="2"/>
        <w:ind w:left="0" w:leftChars="0" w:firstLine="630" w:firstLineChars="300"/>
        <w:jc w:val="both"/>
        <w:rPr>
          <w:rFonts w:hint="eastAsia" w:ascii="宋体" w:hAnsi="宋体" w:eastAsia="宋体" w:cs="宋体"/>
          <w:color w:val="000000"/>
          <w:kern w:val="0"/>
          <w:lang w:val="en-US" w:eastAsia="zh-CN"/>
        </w:rPr>
      </w:pPr>
      <w:r>
        <w:rPr>
          <w:rFonts w:hint="eastAsia" w:ascii="宋体" w:hAnsi="宋体" w:cs="宋体"/>
          <w:color w:val="000000"/>
          <w:kern w:val="0"/>
          <w:lang w:val="en-US" w:eastAsia="zh-CN"/>
        </w:rPr>
        <w:t>身份证：</w:t>
      </w:r>
    </w:p>
    <w:tbl>
      <w:tblPr>
        <w:tblStyle w:val="36"/>
        <w:tblpPr w:leftFromText="180" w:rightFromText="180" w:vertAnchor="text" w:horzAnchor="page" w:tblpX="1584" w:tblpY="459"/>
        <w:tblOverlap w:val="never"/>
        <w:tblW w:w="4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trPr>
        <w:tc>
          <w:tcPr>
            <w:tcW w:w="4154"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法定代表人</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（正面）</w:t>
            </w:r>
          </w:p>
        </w:tc>
      </w:tr>
    </w:tbl>
    <w:p>
      <w:pPr>
        <w:rPr>
          <w:vanish/>
        </w:rPr>
      </w:pPr>
    </w:p>
    <w:tbl>
      <w:tblPr>
        <w:tblStyle w:val="36"/>
        <w:tblpPr w:leftFromText="180" w:rightFromText="180" w:vertAnchor="text" w:horzAnchor="page" w:tblpX="6219" w:tblpY="450"/>
        <w:tblOverlap w:val="never"/>
        <w:tblW w:w="4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trPr>
        <w:tc>
          <w:tcPr>
            <w:tcW w:w="4154"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法定代表人</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（反面）</w:t>
            </w:r>
          </w:p>
        </w:tc>
      </w:tr>
    </w:tbl>
    <w:p>
      <w:pPr>
        <w:pStyle w:val="9"/>
        <w:spacing w:line="600" w:lineRule="exact"/>
        <w:ind w:firstLine="422"/>
        <w:rPr>
          <w:rFonts w:ascii="宋体" w:cs="Times New Roman"/>
          <w:b/>
          <w:bCs/>
        </w:rPr>
      </w:pPr>
    </w:p>
    <w:p>
      <w:pPr>
        <w:pStyle w:val="15"/>
        <w:rPr>
          <w:rFonts w:ascii="宋体"/>
          <w:sz w:val="32"/>
          <w:szCs w:val="32"/>
        </w:rPr>
      </w:pPr>
    </w:p>
    <w:p/>
    <w:p>
      <w:pPr>
        <w:pStyle w:val="15"/>
        <w:rPr>
          <w:rFonts w:ascii="宋体"/>
          <w:sz w:val="32"/>
          <w:szCs w:val="32"/>
        </w:rPr>
      </w:pPr>
    </w:p>
    <w:p>
      <w:pPr>
        <w:widowControl/>
        <w:spacing w:line="360" w:lineRule="auto"/>
        <w:ind w:firstLine="636" w:firstLineChars="303"/>
        <w:jc w:val="left"/>
        <w:rPr>
          <w:rFonts w:cs="Times New Roman"/>
        </w:rPr>
      </w:pPr>
      <w:r>
        <w:rPr>
          <w:rFonts w:hint="eastAsia" w:ascii="宋体" w:hAnsi="宋体" w:cs="宋体"/>
          <w:color w:val="000000"/>
          <w:kern w:val="0"/>
        </w:rPr>
        <w:t>供应商名称（单位盖公章）：</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地址：</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签发日期：</w:t>
      </w:r>
      <w:r>
        <w:rPr>
          <w:rFonts w:ascii="宋体" w:hAnsi="宋体" w:cs="宋体"/>
          <w:color w:val="000000"/>
          <w:kern w:val="0"/>
        </w:rPr>
        <w:t xml:space="preserve"> </w:t>
      </w:r>
    </w:p>
    <w:p>
      <w:pPr>
        <w:rPr>
          <w:lang w:val="zh-CN"/>
        </w:rPr>
      </w:pPr>
    </w:p>
    <w:p>
      <w:pPr>
        <w:rPr>
          <w:lang w:val="zh-CN"/>
        </w:rPr>
      </w:pPr>
    </w:p>
    <w:p>
      <w:pPr>
        <w:rPr>
          <w:lang w:val="zh-CN"/>
        </w:rPr>
      </w:pPr>
    </w:p>
    <w:p>
      <w:pPr>
        <w:rPr>
          <w:rFonts w:cs="Times New Roman"/>
        </w:rPr>
      </w:pPr>
    </w:p>
    <w:p>
      <w:pPr>
        <w:pStyle w:val="3"/>
        <w:spacing w:line="360" w:lineRule="auto"/>
        <w:jc w:val="center"/>
        <w:rPr>
          <w:rFonts w:ascii="宋体"/>
        </w:rPr>
      </w:pPr>
      <w:bookmarkStart w:id="92" w:name="_Toc24361"/>
      <w:r>
        <w:rPr>
          <w:rFonts w:hint="eastAsia" w:ascii="宋体" w:hAnsi="宋体" w:cs="宋体"/>
          <w:sz w:val="32"/>
          <w:szCs w:val="32"/>
        </w:rPr>
        <w:t>法定代表人授权委托书</w:t>
      </w:r>
      <w:bookmarkEnd w:id="91"/>
      <w:bookmarkEnd w:id="92"/>
    </w:p>
    <w:p>
      <w:pPr>
        <w:spacing w:line="360" w:lineRule="auto"/>
        <w:rPr>
          <w:rFonts w:ascii="宋体" w:cs="Times New Roman"/>
        </w:rPr>
      </w:pPr>
      <w:r>
        <w:rPr>
          <w:rFonts w:hint="eastAsia" w:ascii="宋体" w:hAnsi="宋体" w:cs="宋体"/>
        </w:rPr>
        <w:t>致：广西南宁技师学院</w:t>
      </w:r>
    </w:p>
    <w:p>
      <w:pPr>
        <w:widowControl/>
        <w:spacing w:line="360" w:lineRule="auto"/>
        <w:ind w:firstLine="420" w:firstLineChars="200"/>
        <w:jc w:val="left"/>
        <w:rPr>
          <w:rFonts w:cs="Times New Roman"/>
        </w:rPr>
      </w:pPr>
      <w:r>
        <w:rPr>
          <w:rFonts w:hint="eastAsia" w:ascii="宋体" w:hAnsi="宋体" w:cs="宋体"/>
          <w:color w:val="000000"/>
          <w:kern w:val="0"/>
        </w:rPr>
        <w:t>本授权委托书声明：注册于</w:t>
      </w:r>
      <w:r>
        <w:rPr>
          <w:rFonts w:ascii="宋体" w:hAnsi="宋体" w:cs="宋体"/>
          <w:color w:val="000000"/>
          <w:kern w:val="0"/>
          <w:u w:val="single"/>
        </w:rPr>
        <w:t xml:space="preserve"> </w:t>
      </w:r>
      <w:r>
        <w:rPr>
          <w:rFonts w:hint="eastAsia" w:ascii="宋体" w:hAnsi="宋体" w:cs="宋体"/>
          <w:color w:val="000000"/>
          <w:kern w:val="0"/>
          <w:u w:val="single"/>
        </w:rPr>
        <w:t>（供应商地址）</w:t>
      </w:r>
      <w:r>
        <w:rPr>
          <w:rFonts w:ascii="宋体" w:hAnsi="宋体" w:cs="宋体"/>
          <w:color w:val="000000"/>
          <w:kern w:val="0"/>
          <w:u w:val="single"/>
        </w:rPr>
        <w:t xml:space="preserve"> </w:t>
      </w:r>
      <w:r>
        <w:rPr>
          <w:rFonts w:hint="eastAsia" w:ascii="宋体" w:hAnsi="宋体" w:cs="宋体"/>
          <w:color w:val="000000"/>
          <w:kern w:val="0"/>
        </w:rPr>
        <w:t>的</w:t>
      </w:r>
      <w:r>
        <w:rPr>
          <w:rFonts w:ascii="宋体" w:hAnsi="宋体" w:cs="宋体"/>
          <w:color w:val="000000"/>
          <w:kern w:val="0"/>
          <w:u w:val="single"/>
        </w:rPr>
        <w:t xml:space="preserve"> </w:t>
      </w:r>
      <w:r>
        <w:rPr>
          <w:rFonts w:hint="eastAsia" w:ascii="宋体" w:hAnsi="宋体" w:cs="宋体"/>
          <w:color w:val="000000"/>
          <w:kern w:val="0"/>
          <w:u w:val="single"/>
        </w:rPr>
        <w:t>（单位名称）</w:t>
      </w:r>
      <w:r>
        <w:rPr>
          <w:rFonts w:ascii="宋体" w:hAnsi="宋体" w:cs="宋体"/>
          <w:color w:val="000000"/>
          <w:kern w:val="0"/>
          <w:u w:val="single"/>
        </w:rPr>
        <w:t xml:space="preserve"> </w:t>
      </w:r>
      <w:r>
        <w:rPr>
          <w:rFonts w:hint="eastAsia" w:ascii="宋体" w:hAnsi="宋体" w:cs="宋体"/>
          <w:color w:val="000000"/>
          <w:kern w:val="0"/>
        </w:rPr>
        <w:t>在下面签名的</w:t>
      </w:r>
      <w:r>
        <w:rPr>
          <w:rFonts w:hint="eastAsia" w:ascii="宋体" w:hAnsi="宋体" w:cs="宋体"/>
          <w:color w:val="000000"/>
          <w:kern w:val="0"/>
          <w:u w:val="single"/>
        </w:rPr>
        <w:t>（法定代表人姓名、职务）</w:t>
      </w:r>
      <w:r>
        <w:rPr>
          <w:rFonts w:hint="eastAsia" w:ascii="宋体" w:hAnsi="宋体" w:cs="宋体"/>
          <w:color w:val="000000"/>
          <w:kern w:val="0"/>
        </w:rPr>
        <w:t>在此授权</w:t>
      </w:r>
      <w:r>
        <w:rPr>
          <w:rFonts w:hint="eastAsia" w:ascii="宋体" w:hAnsi="宋体" w:cs="宋体"/>
          <w:color w:val="000000"/>
          <w:kern w:val="0"/>
          <w:u w:val="single"/>
        </w:rPr>
        <w:t>（被授权人姓名、职务）</w:t>
      </w:r>
      <w:r>
        <w:rPr>
          <w:rFonts w:hint="eastAsia" w:ascii="宋体" w:hAnsi="宋体" w:cs="宋体"/>
          <w:color w:val="000000"/>
          <w:kern w:val="0"/>
        </w:rPr>
        <w:t>作为我公司的合法代理人，就</w:t>
      </w:r>
      <w:r>
        <w:rPr>
          <w:rFonts w:hint="eastAsia" w:ascii="宋体" w:hAnsi="宋体" w:cs="宋体"/>
          <w:color w:val="000000"/>
          <w:kern w:val="0"/>
          <w:u w:val="single"/>
        </w:rPr>
        <w:t>（项目名称、项目编号）</w:t>
      </w:r>
      <w:r>
        <w:rPr>
          <w:rFonts w:hint="eastAsia" w:ascii="宋体" w:hAnsi="宋体" w:cs="宋体"/>
          <w:color w:val="000000"/>
          <w:kern w:val="0"/>
        </w:rPr>
        <w:t>的招投标活动，采购合同的签订、执行、完成和售后服务，作为供应商代表以我方的名义处理一切与之有关的事务。</w:t>
      </w:r>
      <w:r>
        <w:rPr>
          <w:rFonts w:ascii="宋体" w:hAnsi="宋体" w:cs="宋体"/>
          <w:color w:val="000000"/>
          <w:kern w:val="0"/>
        </w:rPr>
        <w:t xml:space="preserve"> </w:t>
      </w:r>
    </w:p>
    <w:p>
      <w:pPr>
        <w:widowControl/>
        <w:spacing w:line="360" w:lineRule="auto"/>
        <w:ind w:firstLine="420" w:firstLineChars="200"/>
        <w:jc w:val="left"/>
        <w:rPr>
          <w:rFonts w:cs="Times New Roman"/>
        </w:rPr>
      </w:pPr>
      <w:r>
        <w:rPr>
          <w:rFonts w:hint="eastAsia" w:ascii="宋体" w:hAnsi="宋体" w:cs="宋体"/>
          <w:color w:val="000000"/>
          <w:kern w:val="0"/>
        </w:rPr>
        <w:t>被授权人（供应商授权代表）无转委托权限。</w:t>
      </w:r>
      <w:r>
        <w:rPr>
          <w:rFonts w:ascii="宋体" w:hAnsi="宋体" w:cs="宋体"/>
          <w:color w:val="000000"/>
          <w:kern w:val="0"/>
        </w:rPr>
        <w:t xml:space="preserve"> </w:t>
      </w:r>
    </w:p>
    <w:p>
      <w:pPr>
        <w:widowControl/>
        <w:spacing w:line="360" w:lineRule="auto"/>
        <w:ind w:firstLine="420" w:firstLineChars="200"/>
        <w:jc w:val="left"/>
        <w:rPr>
          <w:rFonts w:ascii="宋体" w:cs="Times New Roman"/>
          <w:color w:val="000000"/>
          <w:kern w:val="0"/>
        </w:rPr>
      </w:pPr>
      <w:r>
        <w:rPr>
          <w:rFonts w:hint="eastAsia" w:ascii="宋体" w:hAnsi="宋体" w:cs="宋体"/>
          <w:color w:val="000000"/>
          <w:kern w:val="0"/>
        </w:rPr>
        <w:t>本授权书自法定代表人签字之日起生效，特此声明。</w:t>
      </w:r>
      <w:r>
        <w:rPr>
          <w:rFonts w:ascii="宋体" w:hAnsi="宋体" w:cs="宋体"/>
          <w:color w:val="000000"/>
          <w:kern w:val="0"/>
        </w:rPr>
        <w:t xml:space="preserve"> </w:t>
      </w:r>
    </w:p>
    <w:p>
      <w:pPr>
        <w:pStyle w:val="35"/>
        <w:ind w:firstLine="210"/>
      </w:pPr>
    </w:p>
    <w:p>
      <w:pPr>
        <w:widowControl/>
        <w:spacing w:line="360" w:lineRule="auto"/>
        <w:jc w:val="left"/>
        <w:rPr>
          <w:rFonts w:cs="Times New Roman"/>
          <w:b/>
          <w:bCs/>
        </w:rPr>
      </w:pPr>
      <w:r>
        <w:rPr>
          <w:rFonts w:hint="eastAsia" w:ascii="宋体" w:hAnsi="宋体" w:cs="宋体"/>
          <w:b/>
          <w:bCs/>
          <w:color w:val="000000"/>
          <w:kern w:val="0"/>
        </w:rPr>
        <w:t>供应商名称（单位盖公章）：</w:t>
      </w:r>
      <w:r>
        <w:rPr>
          <w:rFonts w:ascii="宋体" w:hAnsi="宋体" w:cs="宋体"/>
          <w:b/>
          <w:bCs/>
          <w:color w:val="000000"/>
          <w:kern w:val="0"/>
        </w:rPr>
        <w:t xml:space="preserve"> </w:t>
      </w:r>
    </w:p>
    <w:p>
      <w:pPr>
        <w:widowControl/>
        <w:spacing w:line="360" w:lineRule="auto"/>
        <w:jc w:val="left"/>
        <w:rPr>
          <w:rFonts w:cs="Times New Roman"/>
        </w:rPr>
      </w:pPr>
      <w:r>
        <w:rPr>
          <w:rFonts w:hint="eastAsia" w:ascii="宋体" w:hAnsi="宋体" w:cs="宋体"/>
          <w:color w:val="000000"/>
          <w:kern w:val="0"/>
        </w:rPr>
        <w:t>地</w:t>
      </w:r>
      <w:r>
        <w:rPr>
          <w:rFonts w:ascii="宋体" w:hAnsi="宋体" w:cs="宋体"/>
          <w:color w:val="000000"/>
          <w:kern w:val="0"/>
        </w:rPr>
        <w:t xml:space="preserve"> </w:t>
      </w:r>
      <w:r>
        <w:rPr>
          <w:rFonts w:hint="eastAsia" w:ascii="宋体" w:hAnsi="宋体" w:cs="宋体"/>
          <w:color w:val="000000"/>
          <w:kern w:val="0"/>
        </w:rPr>
        <w:t>址：</w:t>
      </w:r>
      <w:r>
        <w:rPr>
          <w:rFonts w:ascii="宋体" w:hAnsi="宋体" w:cs="宋体"/>
          <w:color w:val="000000"/>
          <w:kern w:val="0"/>
        </w:rPr>
        <w:t xml:space="preserve"> </w:t>
      </w:r>
    </w:p>
    <w:p>
      <w:pPr>
        <w:widowControl/>
        <w:spacing w:line="360" w:lineRule="auto"/>
        <w:jc w:val="left"/>
        <w:rPr>
          <w:rFonts w:ascii="宋体" w:cs="Times New Roman"/>
          <w:color w:val="000000"/>
          <w:kern w:val="0"/>
        </w:rPr>
      </w:pPr>
    </w:p>
    <w:p>
      <w:pPr>
        <w:widowControl/>
        <w:spacing w:line="360" w:lineRule="auto"/>
        <w:jc w:val="left"/>
        <w:rPr>
          <w:rFonts w:ascii="宋体" w:cs="Times New Roman"/>
          <w:b/>
          <w:bCs/>
          <w:color w:val="000000"/>
          <w:kern w:val="0"/>
        </w:rPr>
      </w:pPr>
      <w:r>
        <w:rPr>
          <w:rFonts w:hint="eastAsia" w:ascii="宋体" w:hAnsi="宋体" w:cs="宋体"/>
          <w:b/>
          <w:bCs/>
          <w:color w:val="000000"/>
          <w:kern w:val="0"/>
        </w:rPr>
        <w:t>法定代表人（签字或盖章）：</w:t>
      </w:r>
      <w:r>
        <w:rPr>
          <w:rFonts w:ascii="宋体" w:hAnsi="宋体" w:cs="宋体"/>
          <w:b/>
          <w:bCs/>
          <w:color w:val="000000"/>
          <w:kern w:val="0"/>
        </w:rPr>
        <w:t xml:space="preserve"> </w:t>
      </w:r>
    </w:p>
    <w:p>
      <w:pPr>
        <w:widowControl/>
        <w:spacing w:line="360" w:lineRule="auto"/>
        <w:jc w:val="left"/>
        <w:rPr>
          <w:rFonts w:cs="Times New Roman"/>
        </w:rPr>
      </w:pPr>
      <w:r>
        <w:rPr>
          <w:rFonts w:hint="eastAsia" w:ascii="宋体" w:hAnsi="宋体" w:cs="宋体"/>
          <w:color w:val="000000"/>
          <w:kern w:val="0"/>
        </w:rPr>
        <w:t>签字日期：</w:t>
      </w:r>
      <w:r>
        <w:rPr>
          <w:rFonts w:ascii="宋体" w:hAnsi="宋体" w:cs="宋体"/>
          <w:color w:val="000000"/>
          <w:kern w:val="0"/>
        </w:rPr>
        <w:t xml:space="preserve">     </w:t>
      </w:r>
      <w:r>
        <w:rPr>
          <w:rFonts w:hint="eastAsia" w:ascii="宋体" w:hAnsi="宋体" w:cs="宋体"/>
          <w:color w:val="000000"/>
          <w:kern w:val="0"/>
        </w:rPr>
        <w:t>年</w:t>
      </w:r>
      <w:r>
        <w:rPr>
          <w:rFonts w:ascii="宋体" w:hAnsi="宋体" w:cs="宋体"/>
          <w:color w:val="000000"/>
          <w:kern w:val="0"/>
        </w:rPr>
        <w:t xml:space="preserve">    </w:t>
      </w:r>
      <w:r>
        <w:rPr>
          <w:rFonts w:hint="eastAsia" w:ascii="宋体" w:hAnsi="宋体" w:cs="宋体"/>
          <w:color w:val="000000"/>
          <w:kern w:val="0"/>
        </w:rPr>
        <w:t>月</w:t>
      </w:r>
      <w:r>
        <w:rPr>
          <w:rFonts w:ascii="宋体" w:hAnsi="宋体" w:cs="宋体"/>
          <w:color w:val="000000"/>
          <w:kern w:val="0"/>
        </w:rPr>
        <w:t xml:space="preserve">    </w:t>
      </w:r>
      <w:r>
        <w:rPr>
          <w:rFonts w:hint="eastAsia" w:ascii="宋体" w:hAnsi="宋体" w:cs="宋体"/>
          <w:color w:val="000000"/>
          <w:kern w:val="0"/>
        </w:rPr>
        <w:t>日</w:t>
      </w:r>
    </w:p>
    <w:tbl>
      <w:tblPr>
        <w:tblStyle w:val="36"/>
        <w:tblpPr w:leftFromText="180" w:rightFromText="180" w:vertAnchor="text" w:horzAnchor="page" w:tblpX="1209" w:tblpY="351"/>
        <w:tblOverlap w:val="never"/>
        <w:tblW w:w="4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trPr>
        <w:tc>
          <w:tcPr>
            <w:tcW w:w="4516"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被授权人（授权代表）</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（正面）</w:t>
            </w:r>
          </w:p>
        </w:tc>
      </w:tr>
    </w:tbl>
    <w:p>
      <w:pPr>
        <w:rPr>
          <w:vanish/>
        </w:rPr>
      </w:pPr>
    </w:p>
    <w:tbl>
      <w:tblPr>
        <w:tblStyle w:val="36"/>
        <w:tblpPr w:leftFromText="180" w:rightFromText="180" w:vertAnchor="text" w:horzAnchor="page" w:tblpX="6264" w:tblpY="351"/>
        <w:tblOverlap w:val="never"/>
        <w:tblW w:w="4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trPr>
        <w:tc>
          <w:tcPr>
            <w:tcW w:w="4516"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被授权人（授权代表）</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（反面）</w:t>
            </w:r>
          </w:p>
        </w:tc>
      </w:tr>
    </w:tbl>
    <w:p>
      <w:pPr>
        <w:tabs>
          <w:tab w:val="left" w:pos="284"/>
        </w:tabs>
        <w:spacing w:line="400" w:lineRule="exact"/>
        <w:rPr>
          <w:rFonts w:ascii="黑体" w:hAnsi="Times New Roman" w:eastAsia="黑体" w:cs="黑体"/>
          <w:sz w:val="28"/>
          <w:szCs w:val="28"/>
        </w:rPr>
      </w:pPr>
    </w:p>
    <w:p>
      <w:pPr>
        <w:tabs>
          <w:tab w:val="left" w:pos="284"/>
        </w:tabs>
        <w:spacing w:line="400" w:lineRule="exact"/>
        <w:ind w:left="283" w:leftChars="135" w:firstLine="980" w:firstLineChars="350"/>
        <w:rPr>
          <w:rFonts w:ascii="黑体" w:hAnsi="Times New Roman" w:eastAsia="黑体" w:cs="黑体"/>
          <w:sz w:val="28"/>
          <w:szCs w:val="28"/>
        </w:rPr>
      </w:pPr>
    </w:p>
    <w:p>
      <w:pPr>
        <w:pStyle w:val="4"/>
        <w:rPr>
          <w:rFonts w:ascii="黑体" w:hAnsi="Times New Roman" w:cs="黑体"/>
          <w:sz w:val="28"/>
          <w:szCs w:val="28"/>
        </w:rPr>
      </w:pPr>
    </w:p>
    <w:p>
      <w:pPr>
        <w:rPr>
          <w:rFonts w:ascii="黑体" w:hAnsi="Times New Roman" w:eastAsia="黑体" w:cs="黑体"/>
          <w:sz w:val="28"/>
          <w:szCs w:val="28"/>
        </w:rPr>
      </w:pPr>
    </w:p>
    <w:p>
      <w:pPr>
        <w:pStyle w:val="4"/>
      </w:pPr>
    </w:p>
    <w:p>
      <w:pPr>
        <w:tabs>
          <w:tab w:val="left" w:pos="284"/>
        </w:tabs>
        <w:spacing w:line="400" w:lineRule="exact"/>
        <w:ind w:left="283" w:leftChars="135" w:firstLine="980" w:firstLineChars="350"/>
        <w:rPr>
          <w:rFonts w:ascii="黑体" w:hAnsi="Times New Roman" w:eastAsia="黑体" w:cs="黑体"/>
          <w:sz w:val="28"/>
          <w:szCs w:val="28"/>
        </w:rPr>
      </w:pPr>
    </w:p>
    <w:p>
      <w:pPr>
        <w:numPr>
          <w:ilvl w:val="0"/>
          <w:numId w:val="3"/>
        </w:numPr>
        <w:spacing w:line="400" w:lineRule="exact"/>
        <w:rPr>
          <w:rFonts w:ascii="黑体" w:hAnsi="Times New Roman" w:eastAsia="黑体" w:cs="黑体"/>
          <w:sz w:val="28"/>
          <w:szCs w:val="28"/>
        </w:rPr>
      </w:pPr>
    </w:p>
    <w:p>
      <w:pPr>
        <w:widowControl/>
        <w:jc w:val="center"/>
        <w:rPr>
          <w:b/>
          <w:sz w:val="24"/>
        </w:rPr>
      </w:pPr>
      <w:r>
        <w:rPr>
          <w:rFonts w:hint="eastAsia" w:ascii="Times New Roman" w:hAnsi="Times New Roman" w:cs="宋体"/>
          <w:b/>
          <w:sz w:val="24"/>
        </w:rPr>
        <w:t>“▲”条款响应一览表</w:t>
      </w:r>
    </w:p>
    <w:p>
      <w:pPr>
        <w:spacing w:line="400" w:lineRule="exact"/>
        <w:ind w:left="948" w:leftChars="100" w:hanging="738" w:hangingChars="350"/>
        <w:rPr>
          <w:rFonts w:ascii="宋体" w:hAnsi="Times New Roman" w:cs="宋体"/>
          <w:b/>
          <w:bCs/>
        </w:rPr>
      </w:pPr>
      <w:r>
        <w:rPr>
          <w:rFonts w:hint="eastAsia" w:ascii="宋体" w:hAnsi="宋体" w:cs="宋体"/>
          <w:b/>
          <w:bCs/>
        </w:rPr>
        <w:t>说明：供应商必须对应询价文件</w:t>
      </w:r>
      <w:r>
        <w:rPr>
          <w:rFonts w:hint="eastAsia" w:ascii="Times New Roman" w:hAnsi="Times New Roman" w:cs="宋体"/>
          <w:b/>
          <w:bCs/>
        </w:rPr>
        <w:t>带“</w:t>
      </w:r>
      <w:r>
        <w:rPr>
          <w:rFonts w:hint="eastAsia" w:ascii="宋体" w:hAnsi="Times New Roman" w:cs="宋体"/>
          <w:b/>
          <w:bCs/>
        </w:rPr>
        <w:t>▲</w:t>
      </w:r>
      <w:r>
        <w:rPr>
          <w:rFonts w:hint="eastAsia" w:ascii="Times New Roman" w:hAnsi="Times New Roman" w:cs="宋体"/>
          <w:b/>
          <w:bCs/>
        </w:rPr>
        <w:t>”的</w:t>
      </w:r>
      <w:r>
        <w:rPr>
          <w:rFonts w:hint="eastAsia" w:ascii="宋体" w:hAnsi="宋体" w:cs="宋体"/>
          <w:b/>
          <w:bCs/>
        </w:rPr>
        <w:t>实质性条款逐条应答并按要求填写下表。</w:t>
      </w:r>
    </w:p>
    <w:p>
      <w:pPr>
        <w:spacing w:line="400" w:lineRule="exact"/>
        <w:ind w:firstLine="210" w:firstLineChars="100"/>
        <w:rPr>
          <w:rFonts w:ascii="宋体" w:hAnsi="Times New Roman" w:cs="宋体"/>
          <w:u w:val="single"/>
        </w:rPr>
      </w:pPr>
      <w:r>
        <w:rPr>
          <w:rFonts w:hint="eastAsia" w:ascii="宋体" w:hAnsi="宋体" w:cs="宋体"/>
        </w:rPr>
        <w:t>项目名称：</w:t>
      </w:r>
      <w:r>
        <w:rPr>
          <w:rFonts w:ascii="宋体" w:hAnsi="Times New Roman" w:cs="宋体"/>
          <w:u w:val="single"/>
        </w:rPr>
        <w:t xml:space="preserve">                                                  </w:t>
      </w:r>
    </w:p>
    <w:p>
      <w:pPr>
        <w:spacing w:line="400" w:lineRule="exact"/>
        <w:ind w:firstLine="210" w:firstLineChars="100"/>
        <w:rPr>
          <w:rFonts w:ascii="宋体" w:hAnsi="Times New Roman" w:cs="宋体"/>
        </w:rPr>
      </w:pPr>
      <w:r>
        <w:rPr>
          <w:rFonts w:hint="eastAsia" w:ascii="宋体" w:hAnsi="宋体" w:cs="宋体"/>
        </w:rPr>
        <w:t>项目编号：</w:t>
      </w:r>
      <w:r>
        <w:rPr>
          <w:rFonts w:ascii="宋体" w:hAnsi="宋体" w:cs="宋体"/>
          <w:u w:val="single"/>
        </w:rPr>
        <w:t xml:space="preserve">                               </w:t>
      </w:r>
    </w:p>
    <w:tbl>
      <w:tblPr>
        <w:tblStyle w:val="36"/>
        <w:tblW w:w="7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tabs>
                <w:tab w:val="left" w:pos="142"/>
              </w:tabs>
              <w:rPr>
                <w:rFonts w:ascii="宋体" w:hAnsi="Times New Roman" w:cs="宋体"/>
                <w:sz w:val="18"/>
                <w:szCs w:val="18"/>
              </w:rPr>
            </w:pPr>
            <w:r>
              <w:rPr>
                <w:rFonts w:hint="eastAsia" w:ascii="宋体" w:hAnsi="宋体" w:cs="宋体"/>
                <w:sz w:val="18"/>
                <w:szCs w:val="18"/>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询价文件的要求描述</w:t>
            </w: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响应供应商响应描述</w:t>
            </w: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偏离情况说明</w:t>
            </w:r>
          </w:p>
          <w:p>
            <w:pPr>
              <w:ind w:left="-78" w:leftChars="-37" w:right="-80" w:rightChars="-38"/>
              <w:rPr>
                <w:rFonts w:ascii="宋体" w:hAnsi="Times New Roman" w:cs="宋体"/>
                <w:sz w:val="18"/>
                <w:szCs w:val="18"/>
              </w:rPr>
            </w:pPr>
            <w:r>
              <w:rPr>
                <w:rFonts w:hint="eastAsia" w:ascii="宋体" w:hAnsi="宋体" w:cs="宋体"/>
                <w:sz w:val="18"/>
                <w:szCs w:val="18"/>
              </w:rPr>
              <w:t>可填写：“正偏离”、“无偏离”、“负偏离”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left"/>
              <w:rPr>
                <w:rFonts w:ascii="宋体" w:hAnsi="Times New Roman" w:cs="宋体"/>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bl>
    <w:p>
      <w:pPr>
        <w:adjustRightInd w:val="0"/>
        <w:snapToGrid w:val="0"/>
        <w:spacing w:line="460" w:lineRule="exact"/>
        <w:ind w:left="59" w:leftChars="28"/>
        <w:rPr>
          <w:rFonts w:ascii="宋体" w:hAnsi="Times New Roman" w:cs="宋体"/>
        </w:rPr>
      </w:pPr>
      <w:r>
        <w:rPr>
          <w:rFonts w:hint="eastAsia" w:ascii="宋体" w:hAnsi="宋体" w:cs="宋体"/>
        </w:rPr>
        <w:t>备注：本表中“询价文件的要求描述”与采购需求书中的条款描述不一致的以采购需求书中的规定为准。</w:t>
      </w:r>
    </w:p>
    <w:p>
      <w:pPr>
        <w:spacing w:line="500" w:lineRule="exact"/>
        <w:ind w:firstLine="109" w:firstLineChars="50"/>
        <w:rPr>
          <w:spacing w:val="4"/>
        </w:rPr>
      </w:pPr>
    </w:p>
    <w:p>
      <w:pPr>
        <w:ind w:firstLine="420" w:firstLineChars="200"/>
      </w:pPr>
      <w:r>
        <w:rPr>
          <w:rFonts w:hint="eastAsia" w:ascii="Times New Roman" w:hAnsi="Times New Roman" w:cs="宋体"/>
        </w:rPr>
        <w:t>供应商名称（公章）：</w:t>
      </w:r>
    </w:p>
    <w:p>
      <w:pPr>
        <w:ind w:firstLine="420" w:firstLineChars="200"/>
      </w:pPr>
    </w:p>
    <w:p>
      <w:pPr>
        <w:ind w:firstLine="420" w:firstLineChars="200"/>
      </w:pPr>
      <w:r>
        <w:rPr>
          <w:rFonts w:hint="eastAsia" w:ascii="Times New Roman" w:hAnsi="Times New Roman" w:cs="宋体"/>
        </w:rPr>
        <w:t>法定代表人或其授权代表（签名）：</w:t>
      </w:r>
    </w:p>
    <w:p>
      <w:pPr>
        <w:ind w:firstLine="420" w:firstLineChars="200"/>
      </w:pPr>
    </w:p>
    <w:p>
      <w:pPr>
        <w:ind w:firstLine="420" w:firstLineChars="200"/>
      </w:pPr>
      <w:r>
        <w:rPr>
          <w:rFonts w:hint="eastAsia" w:ascii="Times New Roman" w:hAnsi="Times New Roman" w:cs="宋体"/>
        </w:rPr>
        <w:t xml:space="preserve">日期： </w:t>
      </w:r>
      <w:r>
        <w:rPr>
          <w:rFonts w:ascii="Times New Roman" w:hAnsi="Times New Roman" w:cs="宋体"/>
        </w:rPr>
        <w:t xml:space="preserve">      </w:t>
      </w:r>
      <w:r>
        <w:rPr>
          <w:rFonts w:hint="eastAsia" w:ascii="Times New Roman" w:hAnsi="Times New Roman" w:cs="宋体"/>
        </w:rPr>
        <w:t xml:space="preserve">年 </w:t>
      </w:r>
      <w:r>
        <w:rPr>
          <w:rFonts w:ascii="Times New Roman" w:hAnsi="Times New Roman" w:cs="宋体"/>
        </w:rPr>
        <w:t xml:space="preserve">  </w:t>
      </w:r>
      <w:r>
        <w:rPr>
          <w:rFonts w:hint="eastAsia" w:ascii="Times New Roman" w:hAnsi="Times New Roman" w:cs="宋体"/>
        </w:rPr>
        <w:t xml:space="preserve">月 </w:t>
      </w:r>
      <w:r>
        <w:rPr>
          <w:rFonts w:ascii="Times New Roman" w:hAnsi="Times New Roman" w:cs="宋体"/>
        </w:rPr>
        <w:t xml:space="preserve">  </w:t>
      </w:r>
      <w:r>
        <w:rPr>
          <w:rFonts w:hint="eastAsia" w:ascii="Times New Roman" w:hAnsi="Times New Roman" w:cs="宋体"/>
        </w:rPr>
        <w:t>日</w:t>
      </w:r>
    </w:p>
    <w:p>
      <w:pPr>
        <w:widowControl/>
        <w:jc w:val="left"/>
        <w:rPr>
          <w:rFonts w:ascii="黑体" w:hAnsi="Times New Roman" w:eastAsia="黑体" w:cs="黑体"/>
          <w:sz w:val="28"/>
          <w:szCs w:val="28"/>
        </w:rPr>
      </w:pPr>
    </w:p>
    <w:p>
      <w:pPr>
        <w:widowControl/>
        <w:jc w:val="left"/>
        <w:rPr>
          <w:rFonts w:ascii="黑体" w:hAnsi="Times New Roman" w:eastAsia="黑体" w:cs="黑体"/>
          <w:sz w:val="28"/>
          <w:szCs w:val="28"/>
        </w:rPr>
      </w:pPr>
    </w:p>
    <w:p>
      <w:pPr>
        <w:widowControl/>
        <w:jc w:val="left"/>
        <w:rPr>
          <w:rFonts w:ascii="黑体" w:hAnsi="Times New Roman" w:eastAsia="黑体" w:cs="黑体"/>
          <w:sz w:val="28"/>
          <w:szCs w:val="28"/>
        </w:rPr>
      </w:pPr>
    </w:p>
    <w:p>
      <w:pPr>
        <w:pStyle w:val="2"/>
        <w:rPr>
          <w:rFonts w:ascii="黑体" w:hAnsi="Times New Roman" w:eastAsia="黑体" w:cs="黑体"/>
          <w:sz w:val="28"/>
          <w:szCs w:val="28"/>
        </w:rPr>
      </w:pPr>
    </w:p>
    <w:p>
      <w:pPr>
        <w:pStyle w:val="2"/>
        <w:rPr>
          <w:rFonts w:ascii="黑体" w:hAnsi="Times New Roman" w:eastAsia="黑体" w:cs="黑体"/>
          <w:sz w:val="28"/>
          <w:szCs w:val="28"/>
        </w:rPr>
      </w:pPr>
    </w:p>
    <w:p/>
    <w:p>
      <w:pPr>
        <w:numPr>
          <w:ilvl w:val="0"/>
          <w:numId w:val="3"/>
        </w:numPr>
        <w:spacing w:line="400" w:lineRule="exact"/>
        <w:rPr>
          <w:rFonts w:ascii="黑体" w:hAnsi="Times New Roman" w:eastAsia="黑体" w:cs="黑体"/>
          <w:sz w:val="28"/>
          <w:szCs w:val="28"/>
        </w:rPr>
      </w:pPr>
    </w:p>
    <w:p>
      <w:pPr>
        <w:pStyle w:val="3"/>
        <w:spacing w:line="360" w:lineRule="auto"/>
        <w:jc w:val="center"/>
        <w:rPr>
          <w:rFonts w:ascii="宋体" w:hAnsi="宋体" w:cs="宋体"/>
          <w:sz w:val="32"/>
          <w:szCs w:val="32"/>
        </w:rPr>
      </w:pPr>
      <w:bookmarkStart w:id="93" w:name="_Toc21165"/>
      <w:r>
        <w:rPr>
          <w:rFonts w:hint="eastAsia" w:ascii="宋体" w:hAnsi="宋体" w:cs="宋体"/>
          <w:sz w:val="32"/>
          <w:szCs w:val="32"/>
        </w:rPr>
        <w:t>报价表</w:t>
      </w:r>
      <w:bookmarkEnd w:id="93"/>
    </w:p>
    <w:p>
      <w:pPr>
        <w:pStyle w:val="4"/>
        <w:jc w:val="center"/>
        <w:rPr>
          <w:rFonts w:ascii="宋体" w:hAnsi="宋体" w:eastAsia="宋体" w:cs="宋体"/>
          <w:sz w:val="24"/>
          <w:szCs w:val="24"/>
        </w:rPr>
      </w:pPr>
      <w:r>
        <w:rPr>
          <w:rFonts w:hint="eastAsia" w:ascii="宋体" w:hAnsi="宋体" w:eastAsia="宋体" w:cs="宋体"/>
          <w:sz w:val="24"/>
          <w:szCs w:val="24"/>
        </w:rPr>
        <w:t>（一）报价一览表</w:t>
      </w:r>
    </w:p>
    <w:tbl>
      <w:tblPr>
        <w:tblStyle w:val="36"/>
        <w:tblW w:w="8840"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34"/>
        <w:gridCol w:w="3402"/>
        <w:gridCol w:w="1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3534" w:type="dxa"/>
            <w:shd w:val="clear" w:color="auto" w:fill="D9D9D9"/>
            <w:vAlign w:val="center"/>
          </w:tcPr>
          <w:p>
            <w:pPr>
              <w:jc w:val="center"/>
              <w:rPr>
                <w:b/>
              </w:rPr>
            </w:pPr>
            <w:bookmarkStart w:id="94" w:name="_Hlk38364649"/>
            <w:r>
              <w:rPr>
                <w:rFonts w:hint="eastAsia"/>
                <w:b/>
              </w:rPr>
              <w:t>项目名称</w:t>
            </w:r>
          </w:p>
        </w:tc>
        <w:tc>
          <w:tcPr>
            <w:tcW w:w="3402" w:type="dxa"/>
            <w:shd w:val="clear" w:color="auto" w:fill="D9D9D9"/>
            <w:vAlign w:val="center"/>
          </w:tcPr>
          <w:p>
            <w:pPr>
              <w:jc w:val="center"/>
              <w:rPr>
                <w:b/>
              </w:rPr>
            </w:pPr>
            <w:r>
              <w:rPr>
                <w:rFonts w:hint="eastAsia"/>
                <w:b/>
              </w:rPr>
              <w:t>总报价</w:t>
            </w:r>
          </w:p>
        </w:tc>
        <w:tc>
          <w:tcPr>
            <w:tcW w:w="1904" w:type="dxa"/>
            <w:shd w:val="clear" w:color="auto" w:fill="D9D9D9"/>
            <w:vAlign w:val="center"/>
          </w:tcPr>
          <w:p>
            <w:pPr>
              <w:jc w:val="center"/>
              <w:rPr>
                <w:b/>
              </w:rPr>
            </w:pPr>
            <w:r>
              <w:rPr>
                <w:rFonts w:hint="eastAsia"/>
                <w:b/>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trPr>
        <w:tc>
          <w:tcPr>
            <w:tcW w:w="3534" w:type="dxa"/>
            <w:vMerge w:val="restart"/>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cs="Arial"/>
                <w:bCs/>
              </w:rPr>
            </w:pPr>
          </w:p>
        </w:tc>
        <w:tc>
          <w:tcPr>
            <w:tcW w:w="3402" w:type="dxa"/>
            <w:vAlign w:val="center"/>
          </w:tcPr>
          <w:p>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hint="eastAsia" w:cs="Arial"/>
                <w:bCs/>
              </w:rPr>
              <w:t>小写：￥</w:t>
            </w:r>
            <w:r>
              <w:rPr>
                <w:rFonts w:hint="eastAsia" w:cs="Arial"/>
                <w:bCs/>
                <w:u w:val="single"/>
              </w:rPr>
              <w:t xml:space="preserve">         </w:t>
            </w:r>
            <w:r>
              <w:rPr>
                <w:rFonts w:hint="eastAsia" w:cs="Arial"/>
                <w:bCs/>
              </w:rPr>
              <w:t>元</w:t>
            </w:r>
          </w:p>
        </w:tc>
        <w:tc>
          <w:tcPr>
            <w:tcW w:w="1904" w:type="dxa"/>
            <w:vMerge w:val="restart"/>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3534" w:type="dxa"/>
            <w:vMerge w:val="continue"/>
            <w:vAlign w:val="center"/>
          </w:tcPr>
          <w:p>
            <w:pPr>
              <w:tabs>
                <w:tab w:val="left" w:pos="654"/>
                <w:tab w:val="left" w:pos="1734"/>
                <w:tab w:val="left" w:pos="2814"/>
                <w:tab w:val="left" w:pos="3894"/>
                <w:tab w:val="left" w:pos="5334"/>
                <w:tab w:val="left" w:pos="6414"/>
                <w:tab w:val="left" w:pos="7254"/>
                <w:tab w:val="left" w:pos="8574"/>
                <w:tab w:val="left" w:pos="9654"/>
              </w:tabs>
              <w:jc w:val="center"/>
              <w:rPr>
                <w:rFonts w:cs="Arial"/>
                <w:bCs/>
              </w:rPr>
            </w:pPr>
          </w:p>
        </w:tc>
        <w:tc>
          <w:tcPr>
            <w:tcW w:w="3402" w:type="dxa"/>
            <w:vAlign w:val="center"/>
          </w:tcPr>
          <w:p>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hint="eastAsia" w:cs="Arial"/>
                <w:bCs/>
              </w:rPr>
              <w:t>大写：人民币</w:t>
            </w:r>
            <w:r>
              <w:rPr>
                <w:rFonts w:hint="eastAsia" w:cs="Arial"/>
                <w:bCs/>
                <w:u w:val="single"/>
              </w:rPr>
              <w:t xml:space="preserve">         </w:t>
            </w:r>
          </w:p>
        </w:tc>
        <w:tc>
          <w:tcPr>
            <w:tcW w:w="1904" w:type="dxa"/>
            <w:vMerge w:val="continue"/>
            <w:vAlign w:val="center"/>
          </w:tcPr>
          <w:p>
            <w:pPr>
              <w:jc w:val="center"/>
            </w:pPr>
          </w:p>
        </w:tc>
      </w:tr>
      <w:bookmarkEnd w:id="94"/>
    </w:tbl>
    <w:p>
      <w:pPr>
        <w:jc w:val="center"/>
        <w:rPr>
          <w:rFonts w:cs="Times New Roman"/>
        </w:rPr>
      </w:pPr>
    </w:p>
    <w:p>
      <w:pPr>
        <w:spacing w:line="360" w:lineRule="auto"/>
        <w:rPr>
          <w:rFonts w:ascii="宋体" w:cs="Times New Roman"/>
        </w:rPr>
      </w:pPr>
      <w:r>
        <w:rPr>
          <w:rFonts w:hint="eastAsia" w:ascii="宋体" w:hAnsi="宋体" w:cs="宋体"/>
        </w:rPr>
        <w:t>注：</w:t>
      </w:r>
    </w:p>
    <w:p>
      <w:pPr>
        <w:numPr>
          <w:ilvl w:val="3"/>
          <w:numId w:val="5"/>
        </w:numPr>
        <w:tabs>
          <w:tab w:val="left" w:pos="720"/>
          <w:tab w:val="left" w:pos="1680"/>
        </w:tabs>
        <w:spacing w:line="360" w:lineRule="auto"/>
        <w:ind w:left="0" w:firstLine="420" w:firstLineChars="200"/>
        <w:rPr>
          <w:rFonts w:ascii="宋体" w:cs="Times New Roman"/>
        </w:rPr>
      </w:pPr>
      <w:r>
        <w:rPr>
          <w:rFonts w:hint="eastAsia" w:ascii="宋体" w:hAnsi="宋体" w:cs="宋体"/>
        </w:rPr>
        <w:t>中文大写金额用汉字，如壹、贰、叁、肆、伍、陆、柒、捌、玖、拾、佰、仟、万、亿、元、角、分、零、整（正）等。</w:t>
      </w:r>
    </w:p>
    <w:p>
      <w:pPr>
        <w:numPr>
          <w:ilvl w:val="3"/>
          <w:numId w:val="5"/>
        </w:numPr>
        <w:tabs>
          <w:tab w:val="left" w:pos="720"/>
          <w:tab w:val="left" w:pos="1680"/>
        </w:tabs>
        <w:spacing w:line="360" w:lineRule="auto"/>
        <w:ind w:hanging="1320"/>
        <w:rPr>
          <w:rFonts w:ascii="宋体" w:cs="Times New Roman"/>
        </w:rPr>
      </w:pPr>
      <w:r>
        <w:rPr>
          <w:rFonts w:hint="eastAsia" w:ascii="宋体" w:hAnsi="宋体" w:cs="宋体"/>
        </w:rPr>
        <w:t>供应商须按要求填写所有信息，不得随意更改本表格式。</w:t>
      </w:r>
    </w:p>
    <w:p>
      <w:pPr>
        <w:numPr>
          <w:ilvl w:val="3"/>
          <w:numId w:val="5"/>
        </w:numPr>
        <w:tabs>
          <w:tab w:val="left" w:pos="720"/>
          <w:tab w:val="left" w:pos="1680"/>
        </w:tabs>
        <w:spacing w:line="360" w:lineRule="auto"/>
        <w:ind w:left="720" w:hanging="360"/>
        <w:rPr>
          <w:rFonts w:ascii="宋体" w:cs="Times New Roman"/>
        </w:rPr>
      </w:pPr>
      <w:r>
        <w:rPr>
          <w:rFonts w:hint="eastAsia" w:ascii="宋体" w:hAnsi="宋体" w:cs="宋体"/>
        </w:rPr>
        <w:t>报价的小数点后保留两位有效数。</w:t>
      </w:r>
    </w:p>
    <w:p>
      <w:pPr>
        <w:numPr>
          <w:ilvl w:val="3"/>
          <w:numId w:val="5"/>
        </w:numPr>
        <w:tabs>
          <w:tab w:val="left" w:pos="720"/>
          <w:tab w:val="left" w:pos="1680"/>
        </w:tabs>
        <w:spacing w:line="360" w:lineRule="auto"/>
        <w:ind w:left="720" w:hanging="360"/>
        <w:rPr>
          <w:rFonts w:ascii="宋体" w:cs="Times New Roman"/>
        </w:rPr>
      </w:pPr>
      <w:r>
        <w:rPr>
          <w:rFonts w:hint="eastAsia" w:ascii="宋体" w:hAnsi="宋体" w:cs="宋体"/>
        </w:rPr>
        <w:t>所有价格均应以人民币报价，金额单位为元。</w:t>
      </w:r>
    </w:p>
    <w:p>
      <w:pPr>
        <w:pStyle w:val="35"/>
        <w:ind w:firstLine="210"/>
        <w:rPr>
          <w:rFonts w:ascii="宋体" w:cs="Times New Roman"/>
        </w:rPr>
      </w:pPr>
    </w:p>
    <w:p>
      <w:pPr>
        <w:pStyle w:val="35"/>
        <w:ind w:firstLine="210"/>
        <w:rPr>
          <w:rFonts w:ascii="宋体" w:cs="Times New Roman"/>
        </w:rPr>
      </w:pPr>
    </w:p>
    <w:p>
      <w:pPr>
        <w:pStyle w:val="35"/>
        <w:ind w:firstLine="0" w:firstLineChars="0"/>
        <w:rPr>
          <w:rFonts w:ascii="宋体" w:cs="Times New Roman"/>
        </w:rPr>
      </w:pPr>
    </w:p>
    <w:p>
      <w:pPr>
        <w:spacing w:line="480" w:lineRule="auto"/>
        <w:rPr>
          <w:rFonts w:cs="Times New Roman"/>
        </w:rPr>
      </w:pPr>
      <w:r>
        <w:rPr>
          <w:rFonts w:hint="eastAsia" w:cs="宋体"/>
        </w:rPr>
        <w:t>供应商法定代表人（或法定代表人授权代表）签字或盖私章：</w:t>
      </w:r>
    </w:p>
    <w:p>
      <w:pPr>
        <w:spacing w:line="480" w:lineRule="auto"/>
        <w:rPr>
          <w:rFonts w:cs="Times New Roman"/>
        </w:rPr>
      </w:pPr>
      <w:r>
        <w:rPr>
          <w:rFonts w:hint="eastAsia" w:cs="宋体"/>
        </w:rPr>
        <w:t>供应商名称（盖公章）：</w:t>
      </w:r>
      <w:r>
        <w:t xml:space="preserve"> </w:t>
      </w:r>
    </w:p>
    <w:p>
      <w:pPr>
        <w:spacing w:line="480" w:lineRule="auto"/>
        <w:rPr>
          <w:rFonts w:cs="Times New Roman"/>
        </w:rPr>
      </w:pPr>
      <w:r>
        <w:rPr>
          <w:rFonts w:hint="eastAsia" w:cs="宋体"/>
        </w:rPr>
        <w:t>日期：</w:t>
      </w:r>
      <w:r>
        <w:t xml:space="preserve">   </w:t>
      </w:r>
      <w:r>
        <w:rPr>
          <w:rFonts w:hint="eastAsia" w:cs="宋体"/>
        </w:rPr>
        <w:t>年</w:t>
      </w:r>
      <w:r>
        <w:t xml:space="preserve">   </w:t>
      </w:r>
      <w:r>
        <w:rPr>
          <w:rFonts w:hint="eastAsia" w:cs="宋体"/>
        </w:rPr>
        <w:t>月</w:t>
      </w:r>
      <w:r>
        <w:t xml:space="preserve">   </w:t>
      </w:r>
      <w:r>
        <w:rPr>
          <w:rFonts w:hint="eastAsia" w:cs="宋体"/>
        </w:rPr>
        <w:t>日</w:t>
      </w:r>
    </w:p>
    <w:p>
      <w:pPr>
        <w:numPr>
          <w:ilvl w:val="0"/>
          <w:numId w:val="3"/>
        </w:numPr>
        <w:spacing w:line="400" w:lineRule="exact"/>
        <w:rPr>
          <w:rFonts w:ascii="黑体" w:hAnsi="Times New Roman" w:eastAsia="黑体" w:cs="黑体"/>
          <w:sz w:val="28"/>
          <w:szCs w:val="28"/>
        </w:rPr>
      </w:pPr>
      <w:r>
        <w:br w:type="page"/>
      </w:r>
      <w:bookmarkEnd w:id="87"/>
      <w:bookmarkEnd w:id="88"/>
      <w:bookmarkEnd w:id="89"/>
    </w:p>
    <w:p>
      <w:pPr>
        <w:spacing w:line="400" w:lineRule="exact"/>
        <w:rPr>
          <w:rFonts w:ascii="黑体" w:hAnsi="Times New Roman" w:eastAsia="黑体" w:cs="黑体"/>
          <w:sz w:val="28"/>
          <w:szCs w:val="28"/>
        </w:rPr>
      </w:pPr>
      <w:r>
        <w:rPr>
          <w:rFonts w:hint="eastAsia" w:ascii="黑体" w:hAnsi="Times New Roman" w:eastAsia="黑体" w:cs="黑体"/>
          <w:sz w:val="28"/>
          <w:szCs w:val="28"/>
        </w:rPr>
        <w:t>格式7</w:t>
      </w:r>
    </w:p>
    <w:p>
      <w:pPr>
        <w:pStyle w:val="3"/>
        <w:spacing w:line="360" w:lineRule="auto"/>
        <w:jc w:val="center"/>
        <w:rPr>
          <w:rFonts w:ascii="宋体" w:hAnsi="宋体" w:cs="宋体"/>
          <w:sz w:val="32"/>
          <w:szCs w:val="32"/>
        </w:rPr>
      </w:pPr>
    </w:p>
    <w:p>
      <w:pPr>
        <w:pStyle w:val="3"/>
        <w:spacing w:line="360" w:lineRule="auto"/>
        <w:jc w:val="center"/>
        <w:rPr>
          <w:rFonts w:ascii="宋体" w:hAnsi="宋体" w:cs="宋体"/>
          <w:sz w:val="32"/>
          <w:szCs w:val="32"/>
        </w:rPr>
      </w:pPr>
      <w:bookmarkStart w:id="95" w:name="_Toc2840"/>
      <w:r>
        <w:rPr>
          <w:rFonts w:hint="eastAsia" w:ascii="宋体" w:hAnsi="宋体" w:cs="宋体"/>
          <w:sz w:val="32"/>
          <w:szCs w:val="32"/>
        </w:rPr>
        <w:t>供应商认为需要提供的其他资料</w:t>
      </w:r>
      <w:bookmarkEnd w:id="95"/>
    </w:p>
    <w:p>
      <w:pPr>
        <w:rPr>
          <w:rFonts w:ascii="宋体" w:hAnsi="宋体"/>
          <w:lang w:val="zh-CN"/>
        </w:rPr>
      </w:pPr>
    </w:p>
    <w:p>
      <w:pPr>
        <w:rPr>
          <w:rFonts w:cs="Times New Roman"/>
          <w:b/>
          <w:bCs/>
        </w:rPr>
      </w:pPr>
    </w:p>
    <w:sectPr>
      <w:pgSz w:w="11906" w:h="16838"/>
      <w:pgMar w:top="1440" w:right="1286"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rFonts w:hint="eastAsia" w:ascii="宋体" w:hAnsi="宋体"/>
      </w:rPr>
      <w:t xml:space="preserve"> </w:t>
    </w:r>
  </w:p>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6"/>
      <w:tblW w:w="9866" w:type="dxa"/>
      <w:jc w:val="right"/>
      <w:tblLayout w:type="fixed"/>
      <w:tblCellMar>
        <w:top w:w="115" w:type="dxa"/>
        <w:left w:w="115" w:type="dxa"/>
        <w:bottom w:w="115" w:type="dxa"/>
        <w:right w:w="115" w:type="dxa"/>
      </w:tblCellMar>
    </w:tblPr>
    <w:tblGrid>
      <w:gridCol w:w="9373"/>
      <w:gridCol w:w="493"/>
    </w:tblGrid>
    <w:tr>
      <w:tblPrEx>
        <w:tblCellMar>
          <w:top w:w="115" w:type="dxa"/>
          <w:left w:w="115" w:type="dxa"/>
          <w:bottom w:w="115" w:type="dxa"/>
          <w:right w:w="115" w:type="dxa"/>
        </w:tblCellMar>
      </w:tblPrEx>
      <w:trPr>
        <w:jc w:val="right"/>
      </w:trPr>
      <w:tc>
        <w:tcPr>
          <w:tcW w:w="9373" w:type="dxa"/>
          <w:vAlign w:val="center"/>
        </w:tcPr>
        <w:p>
          <w:pPr>
            <w:pStyle w:val="23"/>
            <w:tabs>
              <w:tab w:val="center" w:pos="4571"/>
              <w:tab w:val="right" w:pos="9263"/>
            </w:tabs>
            <w:jc w:val="left"/>
            <w:rPr>
              <w:caps/>
              <w:color w:val="000000"/>
            </w:rPr>
          </w:pPr>
          <w:r>
            <w:rPr>
              <w:rFonts w:hint="eastAsia"/>
              <w:caps/>
              <w:color w:val="000000"/>
            </w:rPr>
            <w:tab/>
          </w:r>
          <w:r>
            <w:rPr>
              <w:rFonts w:hint="eastAsia"/>
              <w:caps/>
              <w:color w:val="000000"/>
            </w:rPr>
            <w:tab/>
          </w:r>
        </w:p>
      </w:tc>
      <w:tc>
        <w:tcPr>
          <w:tcW w:w="493" w:type="dxa"/>
          <w:shd w:val="clear" w:color="auto" w:fill="C0504D"/>
          <w:vAlign w:val="center"/>
        </w:tcPr>
        <w:p>
          <w:pPr>
            <w:pStyle w:val="22"/>
            <w:jc w:val="center"/>
            <w:rPr>
              <w:color w:val="FFFFFF"/>
            </w:rPr>
          </w:pPr>
        </w:p>
      </w:tc>
    </w:tr>
  </w:tbl>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wordWrap w:val="0"/>
      <w:jc w:val="both"/>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2"/>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QF1nZ80BAACZAwAADgAAAAAAAAABACAAAAAeAQAAZHJzL2Uy&#10;b0RvYy54bWxQSwUGAAAAAAYABgBZAQAAXQUAAAAA&#10;">
              <v:fill on="f" focussize="0,0"/>
              <v:stroke on="f"/>
              <v:imagedata o:title=""/>
              <o:lock v:ext="edit" aspectratio="f"/>
              <v:textbox inset="0mm,0mm,0mm,0mm" style="mso-fit-shape-to-text:t;">
                <w:txbxContent>
                  <w:p>
                    <w:pPr>
                      <w:pStyle w:val="2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left" w:pos="5325"/>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jc w:val="both"/>
      <w:rPr>
        <w:rFonts w:asci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840"/>
        </w:tabs>
        <w:ind w:left="840" w:hanging="420"/>
      </w:pPr>
      <w:rPr>
        <w:rFonts w:hint="eastAsia"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930BEA8"/>
    <w:multiLevelType w:val="multilevel"/>
    <w:tmpl w:val="5930BEA8"/>
    <w:lvl w:ilvl="0" w:tentative="0">
      <w:start w:val="1"/>
      <w:numFmt w:val="decimal"/>
      <w:lvlText w:val="格式%1"/>
      <w:lvlJc w:val="left"/>
      <w:pPr>
        <w:tabs>
          <w:tab w:val="left" w:pos="284"/>
        </w:tabs>
        <w:ind w:left="284" w:hanging="142"/>
      </w:pPr>
      <w:rPr>
        <w:rFonts w:hint="eastAsia" w:ascii="黑体" w:hAnsi="Times New Roman" w:eastAsia="黑体" w:cs="黑体"/>
        <w:b w:val="0"/>
        <w:bCs w:val="0"/>
        <w:sz w:val="28"/>
        <w:szCs w:val="28"/>
      </w:rPr>
    </w:lvl>
    <w:lvl w:ilvl="1" w:tentative="0">
      <w:start w:val="1"/>
      <w:numFmt w:val="decimal"/>
      <w:lvlText w:val="%2."/>
      <w:lvlJc w:val="left"/>
      <w:pPr>
        <w:tabs>
          <w:tab w:val="left" w:pos="840"/>
        </w:tabs>
        <w:ind w:left="840" w:hanging="420"/>
      </w:pPr>
      <w:rPr>
        <w:b w:val="0"/>
        <w:bCs w:val="0"/>
        <w:sz w:val="21"/>
        <w:szCs w:val="21"/>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30BEBE"/>
    <w:multiLevelType w:val="multilevel"/>
    <w:tmpl w:val="5930BEBE"/>
    <w:lvl w:ilvl="0" w:tentative="0">
      <w:start w:val="1"/>
      <w:numFmt w:val="decimal"/>
      <w:lvlText w:val="%1"/>
      <w:lvlJc w:val="center"/>
      <w:pPr>
        <w:tabs>
          <w:tab w:val="left" w:pos="142"/>
        </w:tabs>
        <w:ind w:left="142" w:firstLine="38"/>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930BEC9"/>
    <w:multiLevelType w:val="multilevel"/>
    <w:tmpl w:val="5930BEC9"/>
    <w:lvl w:ilvl="0" w:tentative="0">
      <w:start w:val="5"/>
      <w:numFmt w:val="japaneseCounting"/>
      <w:lvlText w:val="%1、"/>
      <w:lvlJc w:val="left"/>
      <w:pPr>
        <w:tabs>
          <w:tab w:val="left" w:pos="0"/>
        </w:tabs>
        <w:ind w:left="630" w:hanging="63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3"/>
    <w:lvlOverride w:ilvl="0">
      <w:startOverride w:val="5"/>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NotTrackMoves/>
  <w:documentProtection w:enforcement="0"/>
  <w:defaultTabStop w:val="420"/>
  <w:doNotHyphenateCaps/>
  <w:drawingGridHorizontalSpacing w:val="210"/>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3YjQ5ZDdhZTEwMzc0ZjBjNzM4YzNmMzY0YmNmOWYifQ=="/>
  </w:docVars>
  <w:rsids>
    <w:rsidRoot w:val="00172A27"/>
    <w:rsid w:val="0000475E"/>
    <w:rsid w:val="00004ED9"/>
    <w:rsid w:val="00011BB6"/>
    <w:rsid w:val="00012788"/>
    <w:rsid w:val="00013CED"/>
    <w:rsid w:val="0002731D"/>
    <w:rsid w:val="00027EBF"/>
    <w:rsid w:val="000303E0"/>
    <w:rsid w:val="00030762"/>
    <w:rsid w:val="00031AE7"/>
    <w:rsid w:val="0003432B"/>
    <w:rsid w:val="00040DA5"/>
    <w:rsid w:val="00053D46"/>
    <w:rsid w:val="000616B8"/>
    <w:rsid w:val="00063902"/>
    <w:rsid w:val="00065ED2"/>
    <w:rsid w:val="00066537"/>
    <w:rsid w:val="000667C2"/>
    <w:rsid w:val="00066E92"/>
    <w:rsid w:val="0007002C"/>
    <w:rsid w:val="00080BA3"/>
    <w:rsid w:val="00082EBF"/>
    <w:rsid w:val="0008385A"/>
    <w:rsid w:val="00087508"/>
    <w:rsid w:val="000949A4"/>
    <w:rsid w:val="000A0ABB"/>
    <w:rsid w:val="000A0FD0"/>
    <w:rsid w:val="000A25C9"/>
    <w:rsid w:val="000A3FAA"/>
    <w:rsid w:val="000A5F20"/>
    <w:rsid w:val="000A7964"/>
    <w:rsid w:val="000B59B4"/>
    <w:rsid w:val="000B7CF1"/>
    <w:rsid w:val="000D0A92"/>
    <w:rsid w:val="000D46CF"/>
    <w:rsid w:val="000D7383"/>
    <w:rsid w:val="000E05A7"/>
    <w:rsid w:val="000E4418"/>
    <w:rsid w:val="000E583B"/>
    <w:rsid w:val="000E7810"/>
    <w:rsid w:val="000F5B94"/>
    <w:rsid w:val="00102BF7"/>
    <w:rsid w:val="00102CA5"/>
    <w:rsid w:val="00111258"/>
    <w:rsid w:val="001172BB"/>
    <w:rsid w:val="00117E06"/>
    <w:rsid w:val="00122F34"/>
    <w:rsid w:val="00126E8C"/>
    <w:rsid w:val="00141908"/>
    <w:rsid w:val="0014231F"/>
    <w:rsid w:val="00145770"/>
    <w:rsid w:val="00145BE4"/>
    <w:rsid w:val="00155FBB"/>
    <w:rsid w:val="001567AC"/>
    <w:rsid w:val="00163A40"/>
    <w:rsid w:val="00172A27"/>
    <w:rsid w:val="00190328"/>
    <w:rsid w:val="001A247A"/>
    <w:rsid w:val="001A5503"/>
    <w:rsid w:val="001B08CD"/>
    <w:rsid w:val="001B73D5"/>
    <w:rsid w:val="001C28FB"/>
    <w:rsid w:val="001D4503"/>
    <w:rsid w:val="001D5685"/>
    <w:rsid w:val="001E01F4"/>
    <w:rsid w:val="001E2859"/>
    <w:rsid w:val="001E5C16"/>
    <w:rsid w:val="001E6A25"/>
    <w:rsid w:val="001F108D"/>
    <w:rsid w:val="001F3817"/>
    <w:rsid w:val="001F55ED"/>
    <w:rsid w:val="002076DF"/>
    <w:rsid w:val="00217836"/>
    <w:rsid w:val="00221547"/>
    <w:rsid w:val="0022256D"/>
    <w:rsid w:val="00231604"/>
    <w:rsid w:val="00240026"/>
    <w:rsid w:val="00247048"/>
    <w:rsid w:val="00251EB3"/>
    <w:rsid w:val="00254C3B"/>
    <w:rsid w:val="00256DB7"/>
    <w:rsid w:val="00257B24"/>
    <w:rsid w:val="00260168"/>
    <w:rsid w:val="002633C4"/>
    <w:rsid w:val="00273686"/>
    <w:rsid w:val="00275909"/>
    <w:rsid w:val="00281448"/>
    <w:rsid w:val="002827C6"/>
    <w:rsid w:val="00291258"/>
    <w:rsid w:val="002A00D2"/>
    <w:rsid w:val="002A1A6D"/>
    <w:rsid w:val="002A236B"/>
    <w:rsid w:val="002A79C3"/>
    <w:rsid w:val="002B1764"/>
    <w:rsid w:val="002B3282"/>
    <w:rsid w:val="002B3DDA"/>
    <w:rsid w:val="002B5D51"/>
    <w:rsid w:val="002C1C74"/>
    <w:rsid w:val="002C4A8E"/>
    <w:rsid w:val="002E32F0"/>
    <w:rsid w:val="002E3A35"/>
    <w:rsid w:val="002E41DE"/>
    <w:rsid w:val="002E69D1"/>
    <w:rsid w:val="002F1092"/>
    <w:rsid w:val="002F29FE"/>
    <w:rsid w:val="002F4666"/>
    <w:rsid w:val="00300BF5"/>
    <w:rsid w:val="00301D9A"/>
    <w:rsid w:val="0031265F"/>
    <w:rsid w:val="0031591B"/>
    <w:rsid w:val="00316E1C"/>
    <w:rsid w:val="00317EBD"/>
    <w:rsid w:val="00324B1E"/>
    <w:rsid w:val="003322E0"/>
    <w:rsid w:val="00333096"/>
    <w:rsid w:val="003501ED"/>
    <w:rsid w:val="003519BA"/>
    <w:rsid w:val="003524F9"/>
    <w:rsid w:val="00354B76"/>
    <w:rsid w:val="0036308C"/>
    <w:rsid w:val="00365ADD"/>
    <w:rsid w:val="0036658B"/>
    <w:rsid w:val="00373BB4"/>
    <w:rsid w:val="00376BDC"/>
    <w:rsid w:val="0038226B"/>
    <w:rsid w:val="00393618"/>
    <w:rsid w:val="0039629B"/>
    <w:rsid w:val="003978C3"/>
    <w:rsid w:val="00397CE6"/>
    <w:rsid w:val="003B2EC4"/>
    <w:rsid w:val="003B69B2"/>
    <w:rsid w:val="003B745E"/>
    <w:rsid w:val="003B7D41"/>
    <w:rsid w:val="003E1EA3"/>
    <w:rsid w:val="003E355B"/>
    <w:rsid w:val="003E3D89"/>
    <w:rsid w:val="003F4EBE"/>
    <w:rsid w:val="003F5FB2"/>
    <w:rsid w:val="00401571"/>
    <w:rsid w:val="00407584"/>
    <w:rsid w:val="00407C16"/>
    <w:rsid w:val="004128AB"/>
    <w:rsid w:val="004206AF"/>
    <w:rsid w:val="00423DAD"/>
    <w:rsid w:val="0042402D"/>
    <w:rsid w:val="00424DFB"/>
    <w:rsid w:val="0043308C"/>
    <w:rsid w:val="00441D37"/>
    <w:rsid w:val="00446282"/>
    <w:rsid w:val="004477D0"/>
    <w:rsid w:val="00456605"/>
    <w:rsid w:val="00461B29"/>
    <w:rsid w:val="00461B45"/>
    <w:rsid w:val="00464776"/>
    <w:rsid w:val="0046591A"/>
    <w:rsid w:val="0046625F"/>
    <w:rsid w:val="00467935"/>
    <w:rsid w:val="00471FC2"/>
    <w:rsid w:val="0047295E"/>
    <w:rsid w:val="00477C03"/>
    <w:rsid w:val="00477E81"/>
    <w:rsid w:val="00484EA6"/>
    <w:rsid w:val="00484EF1"/>
    <w:rsid w:val="00486B6A"/>
    <w:rsid w:val="00492B44"/>
    <w:rsid w:val="00492E55"/>
    <w:rsid w:val="0049420F"/>
    <w:rsid w:val="00496C57"/>
    <w:rsid w:val="00497AD4"/>
    <w:rsid w:val="004A1FF8"/>
    <w:rsid w:val="004A3901"/>
    <w:rsid w:val="004A60EC"/>
    <w:rsid w:val="004A7924"/>
    <w:rsid w:val="004B4D97"/>
    <w:rsid w:val="004B5BA7"/>
    <w:rsid w:val="004C2828"/>
    <w:rsid w:val="004C5116"/>
    <w:rsid w:val="004D063D"/>
    <w:rsid w:val="004D109C"/>
    <w:rsid w:val="004D46C1"/>
    <w:rsid w:val="004D5927"/>
    <w:rsid w:val="004D6FFC"/>
    <w:rsid w:val="004E38D3"/>
    <w:rsid w:val="004E4821"/>
    <w:rsid w:val="004E53B0"/>
    <w:rsid w:val="004E554E"/>
    <w:rsid w:val="004E6808"/>
    <w:rsid w:val="004F3CC7"/>
    <w:rsid w:val="005023C4"/>
    <w:rsid w:val="0050644E"/>
    <w:rsid w:val="0050758C"/>
    <w:rsid w:val="00511D52"/>
    <w:rsid w:val="00514F55"/>
    <w:rsid w:val="005311C9"/>
    <w:rsid w:val="00532098"/>
    <w:rsid w:val="005331D2"/>
    <w:rsid w:val="00536FE0"/>
    <w:rsid w:val="0053757A"/>
    <w:rsid w:val="00541C51"/>
    <w:rsid w:val="005441A8"/>
    <w:rsid w:val="00545AB7"/>
    <w:rsid w:val="0055198E"/>
    <w:rsid w:val="00554F20"/>
    <w:rsid w:val="005600FE"/>
    <w:rsid w:val="00565630"/>
    <w:rsid w:val="005873FC"/>
    <w:rsid w:val="00594CC8"/>
    <w:rsid w:val="005962A0"/>
    <w:rsid w:val="005A0F78"/>
    <w:rsid w:val="005A334A"/>
    <w:rsid w:val="005A4AD2"/>
    <w:rsid w:val="005B1F87"/>
    <w:rsid w:val="005B4C59"/>
    <w:rsid w:val="005B6058"/>
    <w:rsid w:val="005B6C65"/>
    <w:rsid w:val="005C0485"/>
    <w:rsid w:val="005C6261"/>
    <w:rsid w:val="005D13F3"/>
    <w:rsid w:val="005E40CB"/>
    <w:rsid w:val="005E7DFD"/>
    <w:rsid w:val="005F0F65"/>
    <w:rsid w:val="006013FA"/>
    <w:rsid w:val="00616313"/>
    <w:rsid w:val="006232E9"/>
    <w:rsid w:val="006272E9"/>
    <w:rsid w:val="0063127C"/>
    <w:rsid w:val="006370B9"/>
    <w:rsid w:val="00640BF4"/>
    <w:rsid w:val="0064312C"/>
    <w:rsid w:val="00645BF7"/>
    <w:rsid w:val="00661532"/>
    <w:rsid w:val="00662387"/>
    <w:rsid w:val="00666122"/>
    <w:rsid w:val="006703EE"/>
    <w:rsid w:val="0068211F"/>
    <w:rsid w:val="00687599"/>
    <w:rsid w:val="00696288"/>
    <w:rsid w:val="00696887"/>
    <w:rsid w:val="006A0B8E"/>
    <w:rsid w:val="006B09F1"/>
    <w:rsid w:val="006C343C"/>
    <w:rsid w:val="006E23D8"/>
    <w:rsid w:val="006E5976"/>
    <w:rsid w:val="00704B4F"/>
    <w:rsid w:val="0071025B"/>
    <w:rsid w:val="007148C7"/>
    <w:rsid w:val="007153CE"/>
    <w:rsid w:val="00720D0F"/>
    <w:rsid w:val="00722F89"/>
    <w:rsid w:val="007243ED"/>
    <w:rsid w:val="00736F42"/>
    <w:rsid w:val="007372B5"/>
    <w:rsid w:val="00741137"/>
    <w:rsid w:val="00743D0C"/>
    <w:rsid w:val="00744298"/>
    <w:rsid w:val="007562AD"/>
    <w:rsid w:val="00756DA2"/>
    <w:rsid w:val="00766B76"/>
    <w:rsid w:val="00770689"/>
    <w:rsid w:val="00773D87"/>
    <w:rsid w:val="0077574D"/>
    <w:rsid w:val="00776906"/>
    <w:rsid w:val="00777E2F"/>
    <w:rsid w:val="00797455"/>
    <w:rsid w:val="007B06C9"/>
    <w:rsid w:val="007B093B"/>
    <w:rsid w:val="007B175C"/>
    <w:rsid w:val="007C0ABD"/>
    <w:rsid w:val="007C59FE"/>
    <w:rsid w:val="007C722F"/>
    <w:rsid w:val="007D2A48"/>
    <w:rsid w:val="007E0813"/>
    <w:rsid w:val="007E60B9"/>
    <w:rsid w:val="007E7F16"/>
    <w:rsid w:val="007F1450"/>
    <w:rsid w:val="007F1F7A"/>
    <w:rsid w:val="007F6177"/>
    <w:rsid w:val="00800EE4"/>
    <w:rsid w:val="00803437"/>
    <w:rsid w:val="00804729"/>
    <w:rsid w:val="008056C8"/>
    <w:rsid w:val="00811AF9"/>
    <w:rsid w:val="00814509"/>
    <w:rsid w:val="0081621D"/>
    <w:rsid w:val="0082205C"/>
    <w:rsid w:val="00832402"/>
    <w:rsid w:val="00833CED"/>
    <w:rsid w:val="00840808"/>
    <w:rsid w:val="00840FE7"/>
    <w:rsid w:val="008461BC"/>
    <w:rsid w:val="00850124"/>
    <w:rsid w:val="00855D75"/>
    <w:rsid w:val="00862522"/>
    <w:rsid w:val="00864D8F"/>
    <w:rsid w:val="008721E8"/>
    <w:rsid w:val="00885F0F"/>
    <w:rsid w:val="008A412A"/>
    <w:rsid w:val="008B068B"/>
    <w:rsid w:val="008B2769"/>
    <w:rsid w:val="008C19E6"/>
    <w:rsid w:val="008D081C"/>
    <w:rsid w:val="008D1E3A"/>
    <w:rsid w:val="008E02C9"/>
    <w:rsid w:val="008E0B5F"/>
    <w:rsid w:val="008E5202"/>
    <w:rsid w:val="008E5C42"/>
    <w:rsid w:val="008F1546"/>
    <w:rsid w:val="008F6402"/>
    <w:rsid w:val="00901BBE"/>
    <w:rsid w:val="0090449C"/>
    <w:rsid w:val="00917F13"/>
    <w:rsid w:val="00921306"/>
    <w:rsid w:val="00922B0E"/>
    <w:rsid w:val="009248A4"/>
    <w:rsid w:val="00933995"/>
    <w:rsid w:val="00934DB3"/>
    <w:rsid w:val="00934E35"/>
    <w:rsid w:val="00940182"/>
    <w:rsid w:val="009449E8"/>
    <w:rsid w:val="00944D32"/>
    <w:rsid w:val="0095076D"/>
    <w:rsid w:val="00952548"/>
    <w:rsid w:val="0095363C"/>
    <w:rsid w:val="00964379"/>
    <w:rsid w:val="00966637"/>
    <w:rsid w:val="00966E29"/>
    <w:rsid w:val="00985E50"/>
    <w:rsid w:val="009920DF"/>
    <w:rsid w:val="00993449"/>
    <w:rsid w:val="009A32A3"/>
    <w:rsid w:val="009A38FF"/>
    <w:rsid w:val="009B12C4"/>
    <w:rsid w:val="009B61CA"/>
    <w:rsid w:val="009B765F"/>
    <w:rsid w:val="009C4738"/>
    <w:rsid w:val="009C5E03"/>
    <w:rsid w:val="009D46D2"/>
    <w:rsid w:val="009D52F5"/>
    <w:rsid w:val="009E24EA"/>
    <w:rsid w:val="009E2D9E"/>
    <w:rsid w:val="009E526A"/>
    <w:rsid w:val="009F0C14"/>
    <w:rsid w:val="009F6662"/>
    <w:rsid w:val="009F7D9A"/>
    <w:rsid w:val="00A04C92"/>
    <w:rsid w:val="00A055F7"/>
    <w:rsid w:val="00A27FF7"/>
    <w:rsid w:val="00A33046"/>
    <w:rsid w:val="00A340A5"/>
    <w:rsid w:val="00A414A8"/>
    <w:rsid w:val="00A55819"/>
    <w:rsid w:val="00A56C65"/>
    <w:rsid w:val="00A56E5C"/>
    <w:rsid w:val="00A64FEB"/>
    <w:rsid w:val="00A664D8"/>
    <w:rsid w:val="00A66739"/>
    <w:rsid w:val="00A74E2D"/>
    <w:rsid w:val="00A768E1"/>
    <w:rsid w:val="00A82547"/>
    <w:rsid w:val="00A833AA"/>
    <w:rsid w:val="00A9258A"/>
    <w:rsid w:val="00A92D4A"/>
    <w:rsid w:val="00A930D3"/>
    <w:rsid w:val="00A93AB2"/>
    <w:rsid w:val="00AB31EE"/>
    <w:rsid w:val="00AC2699"/>
    <w:rsid w:val="00AC5126"/>
    <w:rsid w:val="00AC7E7F"/>
    <w:rsid w:val="00AD272B"/>
    <w:rsid w:val="00AD2DAD"/>
    <w:rsid w:val="00AD77FA"/>
    <w:rsid w:val="00AE0644"/>
    <w:rsid w:val="00AE34EC"/>
    <w:rsid w:val="00AE48FC"/>
    <w:rsid w:val="00AE7BF1"/>
    <w:rsid w:val="00AF4C58"/>
    <w:rsid w:val="00AF609B"/>
    <w:rsid w:val="00B01247"/>
    <w:rsid w:val="00B02E7B"/>
    <w:rsid w:val="00B06A09"/>
    <w:rsid w:val="00B1208F"/>
    <w:rsid w:val="00B13356"/>
    <w:rsid w:val="00B2263B"/>
    <w:rsid w:val="00B31D1A"/>
    <w:rsid w:val="00B36B7A"/>
    <w:rsid w:val="00B44C6A"/>
    <w:rsid w:val="00B531DB"/>
    <w:rsid w:val="00B629B6"/>
    <w:rsid w:val="00B64EE0"/>
    <w:rsid w:val="00B74F23"/>
    <w:rsid w:val="00B8512E"/>
    <w:rsid w:val="00B85A16"/>
    <w:rsid w:val="00B90548"/>
    <w:rsid w:val="00BB04C4"/>
    <w:rsid w:val="00BC326B"/>
    <w:rsid w:val="00BD0C51"/>
    <w:rsid w:val="00BD25A7"/>
    <w:rsid w:val="00BD3B77"/>
    <w:rsid w:val="00BE345E"/>
    <w:rsid w:val="00BE5B41"/>
    <w:rsid w:val="00BE7824"/>
    <w:rsid w:val="00BF4A2E"/>
    <w:rsid w:val="00C11A78"/>
    <w:rsid w:val="00C14875"/>
    <w:rsid w:val="00C15CF5"/>
    <w:rsid w:val="00C21C4E"/>
    <w:rsid w:val="00C246FA"/>
    <w:rsid w:val="00C35C83"/>
    <w:rsid w:val="00C37A47"/>
    <w:rsid w:val="00C45E47"/>
    <w:rsid w:val="00C601EA"/>
    <w:rsid w:val="00C646EA"/>
    <w:rsid w:val="00C71BF3"/>
    <w:rsid w:val="00C7634F"/>
    <w:rsid w:val="00C83562"/>
    <w:rsid w:val="00C8723E"/>
    <w:rsid w:val="00C91B8B"/>
    <w:rsid w:val="00C91F21"/>
    <w:rsid w:val="00C9205E"/>
    <w:rsid w:val="00CA07CA"/>
    <w:rsid w:val="00CB4083"/>
    <w:rsid w:val="00CB4783"/>
    <w:rsid w:val="00CC749A"/>
    <w:rsid w:val="00CD248B"/>
    <w:rsid w:val="00CD6793"/>
    <w:rsid w:val="00CE06E3"/>
    <w:rsid w:val="00CE491E"/>
    <w:rsid w:val="00CF560A"/>
    <w:rsid w:val="00D02AF1"/>
    <w:rsid w:val="00D25820"/>
    <w:rsid w:val="00D26050"/>
    <w:rsid w:val="00D30579"/>
    <w:rsid w:val="00D3548C"/>
    <w:rsid w:val="00D43D77"/>
    <w:rsid w:val="00D4695C"/>
    <w:rsid w:val="00D50859"/>
    <w:rsid w:val="00D53228"/>
    <w:rsid w:val="00D55479"/>
    <w:rsid w:val="00D6106B"/>
    <w:rsid w:val="00D61D83"/>
    <w:rsid w:val="00D754B1"/>
    <w:rsid w:val="00D76F6D"/>
    <w:rsid w:val="00D7720B"/>
    <w:rsid w:val="00D81CF2"/>
    <w:rsid w:val="00D8257B"/>
    <w:rsid w:val="00D8694E"/>
    <w:rsid w:val="00D87C28"/>
    <w:rsid w:val="00D90AA8"/>
    <w:rsid w:val="00DA1BE1"/>
    <w:rsid w:val="00DA41B5"/>
    <w:rsid w:val="00DA4BBF"/>
    <w:rsid w:val="00DA6499"/>
    <w:rsid w:val="00DB3623"/>
    <w:rsid w:val="00DB6E33"/>
    <w:rsid w:val="00DC654D"/>
    <w:rsid w:val="00DC75AB"/>
    <w:rsid w:val="00DD208D"/>
    <w:rsid w:val="00DE3CBD"/>
    <w:rsid w:val="00DE41DC"/>
    <w:rsid w:val="00E03366"/>
    <w:rsid w:val="00E1118A"/>
    <w:rsid w:val="00E14369"/>
    <w:rsid w:val="00E24477"/>
    <w:rsid w:val="00E25956"/>
    <w:rsid w:val="00E27495"/>
    <w:rsid w:val="00E27F41"/>
    <w:rsid w:val="00E338BC"/>
    <w:rsid w:val="00E361C3"/>
    <w:rsid w:val="00E40741"/>
    <w:rsid w:val="00E410E5"/>
    <w:rsid w:val="00E540EF"/>
    <w:rsid w:val="00E56571"/>
    <w:rsid w:val="00E60BD4"/>
    <w:rsid w:val="00E62517"/>
    <w:rsid w:val="00E62909"/>
    <w:rsid w:val="00E6376D"/>
    <w:rsid w:val="00E63994"/>
    <w:rsid w:val="00E6414C"/>
    <w:rsid w:val="00E677AD"/>
    <w:rsid w:val="00E70FCD"/>
    <w:rsid w:val="00E822F3"/>
    <w:rsid w:val="00E85982"/>
    <w:rsid w:val="00E85FF4"/>
    <w:rsid w:val="00E9647A"/>
    <w:rsid w:val="00EA305C"/>
    <w:rsid w:val="00EA4A6D"/>
    <w:rsid w:val="00EB7009"/>
    <w:rsid w:val="00EC443E"/>
    <w:rsid w:val="00EC4D89"/>
    <w:rsid w:val="00EC650B"/>
    <w:rsid w:val="00EC73A9"/>
    <w:rsid w:val="00EC73E7"/>
    <w:rsid w:val="00EC778D"/>
    <w:rsid w:val="00ED28A2"/>
    <w:rsid w:val="00ED7225"/>
    <w:rsid w:val="00EE6D31"/>
    <w:rsid w:val="00EF6532"/>
    <w:rsid w:val="00EF7BC3"/>
    <w:rsid w:val="00F020EA"/>
    <w:rsid w:val="00F10C7F"/>
    <w:rsid w:val="00F16FF3"/>
    <w:rsid w:val="00F32D6E"/>
    <w:rsid w:val="00F378D6"/>
    <w:rsid w:val="00F529B5"/>
    <w:rsid w:val="00F55AA7"/>
    <w:rsid w:val="00F63CEE"/>
    <w:rsid w:val="00F67F5E"/>
    <w:rsid w:val="00F92690"/>
    <w:rsid w:val="00FA002A"/>
    <w:rsid w:val="00FA42AA"/>
    <w:rsid w:val="00FA5DD2"/>
    <w:rsid w:val="00FA7E29"/>
    <w:rsid w:val="00FB757C"/>
    <w:rsid w:val="00FC5522"/>
    <w:rsid w:val="00FC7142"/>
    <w:rsid w:val="00FD0C6E"/>
    <w:rsid w:val="00FD4350"/>
    <w:rsid w:val="00FE33B7"/>
    <w:rsid w:val="00FE70F2"/>
    <w:rsid w:val="00FF4128"/>
    <w:rsid w:val="00FF47E4"/>
    <w:rsid w:val="010C0545"/>
    <w:rsid w:val="011971F9"/>
    <w:rsid w:val="01431AAC"/>
    <w:rsid w:val="01BE2E76"/>
    <w:rsid w:val="01CB4613"/>
    <w:rsid w:val="01D6735B"/>
    <w:rsid w:val="01EE009D"/>
    <w:rsid w:val="02212C59"/>
    <w:rsid w:val="02234D68"/>
    <w:rsid w:val="025C3ED9"/>
    <w:rsid w:val="028B7ABC"/>
    <w:rsid w:val="02A2424B"/>
    <w:rsid w:val="02DC3262"/>
    <w:rsid w:val="03362153"/>
    <w:rsid w:val="033D23C8"/>
    <w:rsid w:val="035C7C9F"/>
    <w:rsid w:val="038421FF"/>
    <w:rsid w:val="038A48C2"/>
    <w:rsid w:val="03AC3D5F"/>
    <w:rsid w:val="04A52F3F"/>
    <w:rsid w:val="04DB5BA0"/>
    <w:rsid w:val="050339C8"/>
    <w:rsid w:val="053E2923"/>
    <w:rsid w:val="05591606"/>
    <w:rsid w:val="056B78E4"/>
    <w:rsid w:val="05A42927"/>
    <w:rsid w:val="05EB78B9"/>
    <w:rsid w:val="060464B3"/>
    <w:rsid w:val="061F2713"/>
    <w:rsid w:val="065654B5"/>
    <w:rsid w:val="066408B6"/>
    <w:rsid w:val="06A149CB"/>
    <w:rsid w:val="06D11F32"/>
    <w:rsid w:val="0785665F"/>
    <w:rsid w:val="07B32051"/>
    <w:rsid w:val="07EB08B1"/>
    <w:rsid w:val="08173179"/>
    <w:rsid w:val="08C5681F"/>
    <w:rsid w:val="091C4B59"/>
    <w:rsid w:val="095D5FCA"/>
    <w:rsid w:val="098A5497"/>
    <w:rsid w:val="09A1791C"/>
    <w:rsid w:val="09D25BA2"/>
    <w:rsid w:val="0A0E35A3"/>
    <w:rsid w:val="0A1B48E0"/>
    <w:rsid w:val="0A836050"/>
    <w:rsid w:val="0A865960"/>
    <w:rsid w:val="0A935413"/>
    <w:rsid w:val="0AB357D4"/>
    <w:rsid w:val="0ABF2570"/>
    <w:rsid w:val="0AD12D78"/>
    <w:rsid w:val="0B591E2E"/>
    <w:rsid w:val="0B7179F0"/>
    <w:rsid w:val="0C0910DE"/>
    <w:rsid w:val="0CAD489C"/>
    <w:rsid w:val="0D0E66AD"/>
    <w:rsid w:val="0D5A5B8C"/>
    <w:rsid w:val="0D7B1C8E"/>
    <w:rsid w:val="0D7D1BB2"/>
    <w:rsid w:val="0D896308"/>
    <w:rsid w:val="0DAC4FCB"/>
    <w:rsid w:val="0DDD3A30"/>
    <w:rsid w:val="0DE855D9"/>
    <w:rsid w:val="0DE92C96"/>
    <w:rsid w:val="0E064F10"/>
    <w:rsid w:val="0E224769"/>
    <w:rsid w:val="0E377D85"/>
    <w:rsid w:val="0EA314D4"/>
    <w:rsid w:val="0EAA614C"/>
    <w:rsid w:val="0EC55891"/>
    <w:rsid w:val="0ECD0956"/>
    <w:rsid w:val="0F0A1C47"/>
    <w:rsid w:val="0F8938E3"/>
    <w:rsid w:val="0FC26B09"/>
    <w:rsid w:val="0FE37051"/>
    <w:rsid w:val="0FE55E1D"/>
    <w:rsid w:val="10234BB8"/>
    <w:rsid w:val="10A37ACB"/>
    <w:rsid w:val="10C33D91"/>
    <w:rsid w:val="11072B0F"/>
    <w:rsid w:val="111144EB"/>
    <w:rsid w:val="112F3EE8"/>
    <w:rsid w:val="11651493"/>
    <w:rsid w:val="11671D8C"/>
    <w:rsid w:val="118215F3"/>
    <w:rsid w:val="11B20E43"/>
    <w:rsid w:val="11B8379D"/>
    <w:rsid w:val="11E164E5"/>
    <w:rsid w:val="122638B7"/>
    <w:rsid w:val="12BB492C"/>
    <w:rsid w:val="12D92BF6"/>
    <w:rsid w:val="132344FA"/>
    <w:rsid w:val="1337105C"/>
    <w:rsid w:val="135B6F1E"/>
    <w:rsid w:val="13CB73A9"/>
    <w:rsid w:val="13D25640"/>
    <w:rsid w:val="13E00550"/>
    <w:rsid w:val="144741CB"/>
    <w:rsid w:val="145C7A04"/>
    <w:rsid w:val="146A35EE"/>
    <w:rsid w:val="14D00807"/>
    <w:rsid w:val="14D02D31"/>
    <w:rsid w:val="14D34E23"/>
    <w:rsid w:val="14DE45E1"/>
    <w:rsid w:val="14F57CCE"/>
    <w:rsid w:val="151505A6"/>
    <w:rsid w:val="151D2D8A"/>
    <w:rsid w:val="157D48C4"/>
    <w:rsid w:val="15883D2B"/>
    <w:rsid w:val="15A33128"/>
    <w:rsid w:val="15CB6DC0"/>
    <w:rsid w:val="15D37DAD"/>
    <w:rsid w:val="15EE047E"/>
    <w:rsid w:val="15F42192"/>
    <w:rsid w:val="164A0FEE"/>
    <w:rsid w:val="167E0620"/>
    <w:rsid w:val="168C03DB"/>
    <w:rsid w:val="168F62E4"/>
    <w:rsid w:val="16AE5587"/>
    <w:rsid w:val="16AE7558"/>
    <w:rsid w:val="17610FFB"/>
    <w:rsid w:val="177212C8"/>
    <w:rsid w:val="1774600D"/>
    <w:rsid w:val="17B65676"/>
    <w:rsid w:val="17E625C2"/>
    <w:rsid w:val="181804D5"/>
    <w:rsid w:val="181956B5"/>
    <w:rsid w:val="183262BB"/>
    <w:rsid w:val="18D93586"/>
    <w:rsid w:val="18E9064E"/>
    <w:rsid w:val="191B2BC9"/>
    <w:rsid w:val="191C3C2B"/>
    <w:rsid w:val="19414DFD"/>
    <w:rsid w:val="19667770"/>
    <w:rsid w:val="19670372"/>
    <w:rsid w:val="19E05BF9"/>
    <w:rsid w:val="19F835C9"/>
    <w:rsid w:val="1A597781"/>
    <w:rsid w:val="1A674BDF"/>
    <w:rsid w:val="1A7C2ADE"/>
    <w:rsid w:val="1AAF73A0"/>
    <w:rsid w:val="1AE16D0C"/>
    <w:rsid w:val="1B295DE8"/>
    <w:rsid w:val="1B495A57"/>
    <w:rsid w:val="1B9472A0"/>
    <w:rsid w:val="1BC354E2"/>
    <w:rsid w:val="1C102782"/>
    <w:rsid w:val="1C1E661C"/>
    <w:rsid w:val="1C3A2896"/>
    <w:rsid w:val="1C4D4BCF"/>
    <w:rsid w:val="1C840E93"/>
    <w:rsid w:val="1CFD009B"/>
    <w:rsid w:val="1D3C39C1"/>
    <w:rsid w:val="1D6C499C"/>
    <w:rsid w:val="1E18389A"/>
    <w:rsid w:val="1E487674"/>
    <w:rsid w:val="1EF37B1C"/>
    <w:rsid w:val="1FA878A4"/>
    <w:rsid w:val="1FB65CE5"/>
    <w:rsid w:val="1FFB1CD2"/>
    <w:rsid w:val="200D19E6"/>
    <w:rsid w:val="20102115"/>
    <w:rsid w:val="20723DF8"/>
    <w:rsid w:val="20CF0408"/>
    <w:rsid w:val="20DD2F6A"/>
    <w:rsid w:val="213D5D4F"/>
    <w:rsid w:val="214D321F"/>
    <w:rsid w:val="21526090"/>
    <w:rsid w:val="21831257"/>
    <w:rsid w:val="21862A8E"/>
    <w:rsid w:val="21B66174"/>
    <w:rsid w:val="21D2510C"/>
    <w:rsid w:val="22041550"/>
    <w:rsid w:val="220B46C7"/>
    <w:rsid w:val="22584650"/>
    <w:rsid w:val="22C27A86"/>
    <w:rsid w:val="22E16D2C"/>
    <w:rsid w:val="23513516"/>
    <w:rsid w:val="235C0D8C"/>
    <w:rsid w:val="24005DFF"/>
    <w:rsid w:val="24740B21"/>
    <w:rsid w:val="24A66CC3"/>
    <w:rsid w:val="24B07509"/>
    <w:rsid w:val="24C03D82"/>
    <w:rsid w:val="25141B44"/>
    <w:rsid w:val="252456F1"/>
    <w:rsid w:val="25251CDD"/>
    <w:rsid w:val="256A0B48"/>
    <w:rsid w:val="25B8212F"/>
    <w:rsid w:val="25C379D2"/>
    <w:rsid w:val="26244987"/>
    <w:rsid w:val="26A266B6"/>
    <w:rsid w:val="26DC3A8D"/>
    <w:rsid w:val="27A76D16"/>
    <w:rsid w:val="27EC1F9F"/>
    <w:rsid w:val="283F20D0"/>
    <w:rsid w:val="28B46DE9"/>
    <w:rsid w:val="28B939EF"/>
    <w:rsid w:val="28CF3E48"/>
    <w:rsid w:val="28F84B43"/>
    <w:rsid w:val="291D7302"/>
    <w:rsid w:val="291F17FC"/>
    <w:rsid w:val="29231E73"/>
    <w:rsid w:val="292D106A"/>
    <w:rsid w:val="29410AEC"/>
    <w:rsid w:val="297978E6"/>
    <w:rsid w:val="29927A4E"/>
    <w:rsid w:val="29F81C85"/>
    <w:rsid w:val="2A066794"/>
    <w:rsid w:val="2A61579E"/>
    <w:rsid w:val="2A994270"/>
    <w:rsid w:val="2B15743C"/>
    <w:rsid w:val="2B7414D9"/>
    <w:rsid w:val="2B8939D5"/>
    <w:rsid w:val="2B9032D2"/>
    <w:rsid w:val="2B9F1B0C"/>
    <w:rsid w:val="2BBD43D2"/>
    <w:rsid w:val="2BC83B6E"/>
    <w:rsid w:val="2C1A6CEA"/>
    <w:rsid w:val="2C2A38E6"/>
    <w:rsid w:val="2C2B2B80"/>
    <w:rsid w:val="2C5B7754"/>
    <w:rsid w:val="2C9F72AD"/>
    <w:rsid w:val="2CA2529D"/>
    <w:rsid w:val="2CBB1650"/>
    <w:rsid w:val="2CBE19F6"/>
    <w:rsid w:val="2CC74EB6"/>
    <w:rsid w:val="2CCE420F"/>
    <w:rsid w:val="2D464F2D"/>
    <w:rsid w:val="2D901D4F"/>
    <w:rsid w:val="2E251FE4"/>
    <w:rsid w:val="2E346694"/>
    <w:rsid w:val="2E585EB6"/>
    <w:rsid w:val="2E756F3C"/>
    <w:rsid w:val="2F6F0866"/>
    <w:rsid w:val="30444961"/>
    <w:rsid w:val="30976FBB"/>
    <w:rsid w:val="30B27859"/>
    <w:rsid w:val="31266B62"/>
    <w:rsid w:val="314B252D"/>
    <w:rsid w:val="31522662"/>
    <w:rsid w:val="318A412F"/>
    <w:rsid w:val="31957294"/>
    <w:rsid w:val="31C077E7"/>
    <w:rsid w:val="31D11801"/>
    <w:rsid w:val="328123C3"/>
    <w:rsid w:val="32953AD6"/>
    <w:rsid w:val="32B81AB0"/>
    <w:rsid w:val="32F61005"/>
    <w:rsid w:val="32FD5840"/>
    <w:rsid w:val="33064658"/>
    <w:rsid w:val="33275A6F"/>
    <w:rsid w:val="333A0463"/>
    <w:rsid w:val="335B60C2"/>
    <w:rsid w:val="33630233"/>
    <w:rsid w:val="336457B2"/>
    <w:rsid w:val="33E26171"/>
    <w:rsid w:val="33E85C36"/>
    <w:rsid w:val="343F0D4B"/>
    <w:rsid w:val="344642CB"/>
    <w:rsid w:val="34583C3A"/>
    <w:rsid w:val="347A2859"/>
    <w:rsid w:val="352F456F"/>
    <w:rsid w:val="353714EB"/>
    <w:rsid w:val="35765CF6"/>
    <w:rsid w:val="35E140BD"/>
    <w:rsid w:val="36231D6F"/>
    <w:rsid w:val="365B20D6"/>
    <w:rsid w:val="36612F9F"/>
    <w:rsid w:val="367365E5"/>
    <w:rsid w:val="36902723"/>
    <w:rsid w:val="36953CD8"/>
    <w:rsid w:val="36B85657"/>
    <w:rsid w:val="36F6244F"/>
    <w:rsid w:val="37040303"/>
    <w:rsid w:val="37576C68"/>
    <w:rsid w:val="377B152A"/>
    <w:rsid w:val="377D72FB"/>
    <w:rsid w:val="37820B60"/>
    <w:rsid w:val="37A161DE"/>
    <w:rsid w:val="37CB3809"/>
    <w:rsid w:val="37D55E69"/>
    <w:rsid w:val="37E911FA"/>
    <w:rsid w:val="381903F7"/>
    <w:rsid w:val="385A5F5D"/>
    <w:rsid w:val="38703BDD"/>
    <w:rsid w:val="389771E3"/>
    <w:rsid w:val="38B91F44"/>
    <w:rsid w:val="396B46CF"/>
    <w:rsid w:val="398C79A3"/>
    <w:rsid w:val="39E67A24"/>
    <w:rsid w:val="39EE175A"/>
    <w:rsid w:val="3A070BE6"/>
    <w:rsid w:val="3A5208D7"/>
    <w:rsid w:val="3A6D1368"/>
    <w:rsid w:val="3A6D2AE0"/>
    <w:rsid w:val="3A7D4D6D"/>
    <w:rsid w:val="3A886309"/>
    <w:rsid w:val="3A904DA0"/>
    <w:rsid w:val="3ABC145B"/>
    <w:rsid w:val="3B0F4EDF"/>
    <w:rsid w:val="3B287ACF"/>
    <w:rsid w:val="3B4536D8"/>
    <w:rsid w:val="3B6405FB"/>
    <w:rsid w:val="3BDB42E4"/>
    <w:rsid w:val="3BF4776D"/>
    <w:rsid w:val="3C28071D"/>
    <w:rsid w:val="3C505CD1"/>
    <w:rsid w:val="3C5F749B"/>
    <w:rsid w:val="3C6537DE"/>
    <w:rsid w:val="3C79768C"/>
    <w:rsid w:val="3C810C03"/>
    <w:rsid w:val="3C912184"/>
    <w:rsid w:val="3CAC6323"/>
    <w:rsid w:val="3D266198"/>
    <w:rsid w:val="3D7353BD"/>
    <w:rsid w:val="3D802EF4"/>
    <w:rsid w:val="3DC34C62"/>
    <w:rsid w:val="3E4D5A71"/>
    <w:rsid w:val="3E676953"/>
    <w:rsid w:val="3E893233"/>
    <w:rsid w:val="3E951975"/>
    <w:rsid w:val="3EB45F5C"/>
    <w:rsid w:val="3EC26D84"/>
    <w:rsid w:val="3ED674CA"/>
    <w:rsid w:val="3EE81F94"/>
    <w:rsid w:val="3EE95CD4"/>
    <w:rsid w:val="3F07744D"/>
    <w:rsid w:val="3F24672E"/>
    <w:rsid w:val="3F381DB3"/>
    <w:rsid w:val="3F3C5B71"/>
    <w:rsid w:val="3F577277"/>
    <w:rsid w:val="3F6B044E"/>
    <w:rsid w:val="3FD820F5"/>
    <w:rsid w:val="3FFE04EC"/>
    <w:rsid w:val="4039566C"/>
    <w:rsid w:val="404E2AE4"/>
    <w:rsid w:val="405A242A"/>
    <w:rsid w:val="40917A55"/>
    <w:rsid w:val="40C91B42"/>
    <w:rsid w:val="40CA126A"/>
    <w:rsid w:val="40F43F1A"/>
    <w:rsid w:val="41532FAE"/>
    <w:rsid w:val="41842C98"/>
    <w:rsid w:val="41BC1CA5"/>
    <w:rsid w:val="41C632A4"/>
    <w:rsid w:val="42057C15"/>
    <w:rsid w:val="423F2F70"/>
    <w:rsid w:val="42670A50"/>
    <w:rsid w:val="427D788F"/>
    <w:rsid w:val="428A1EDA"/>
    <w:rsid w:val="430A0010"/>
    <w:rsid w:val="430D1706"/>
    <w:rsid w:val="43B35BEF"/>
    <w:rsid w:val="44831052"/>
    <w:rsid w:val="44A21D28"/>
    <w:rsid w:val="44E828B4"/>
    <w:rsid w:val="451002B5"/>
    <w:rsid w:val="456A0612"/>
    <w:rsid w:val="458D6777"/>
    <w:rsid w:val="4590612D"/>
    <w:rsid w:val="45974811"/>
    <w:rsid w:val="46022BE9"/>
    <w:rsid w:val="46066A8D"/>
    <w:rsid w:val="46082FC4"/>
    <w:rsid w:val="460868F8"/>
    <w:rsid w:val="46295264"/>
    <w:rsid w:val="466A2CBB"/>
    <w:rsid w:val="46BA00BF"/>
    <w:rsid w:val="46C50767"/>
    <w:rsid w:val="46D66444"/>
    <w:rsid w:val="47350CC5"/>
    <w:rsid w:val="4754657C"/>
    <w:rsid w:val="47792485"/>
    <w:rsid w:val="477F0800"/>
    <w:rsid w:val="47DF047E"/>
    <w:rsid w:val="47F1067D"/>
    <w:rsid w:val="481E4E00"/>
    <w:rsid w:val="48350F2F"/>
    <w:rsid w:val="48673C7E"/>
    <w:rsid w:val="487F5414"/>
    <w:rsid w:val="488D5CBD"/>
    <w:rsid w:val="489E174F"/>
    <w:rsid w:val="48BD715B"/>
    <w:rsid w:val="493A3496"/>
    <w:rsid w:val="499C4437"/>
    <w:rsid w:val="49B35ADA"/>
    <w:rsid w:val="4A220A59"/>
    <w:rsid w:val="4A3C591C"/>
    <w:rsid w:val="4A797E30"/>
    <w:rsid w:val="4AC85072"/>
    <w:rsid w:val="4B115EC7"/>
    <w:rsid w:val="4B584189"/>
    <w:rsid w:val="4B646FFB"/>
    <w:rsid w:val="4B745559"/>
    <w:rsid w:val="4B8250E9"/>
    <w:rsid w:val="4B9374B4"/>
    <w:rsid w:val="4BAC6D9C"/>
    <w:rsid w:val="4BBC374F"/>
    <w:rsid w:val="4BD20857"/>
    <w:rsid w:val="4BD50393"/>
    <w:rsid w:val="4C371F41"/>
    <w:rsid w:val="4C392ED7"/>
    <w:rsid w:val="4CF124C7"/>
    <w:rsid w:val="4D1C29A0"/>
    <w:rsid w:val="4D222443"/>
    <w:rsid w:val="4D5544F7"/>
    <w:rsid w:val="4D55695C"/>
    <w:rsid w:val="4D6A2510"/>
    <w:rsid w:val="4D8D15C2"/>
    <w:rsid w:val="4DC23C9A"/>
    <w:rsid w:val="4E15316A"/>
    <w:rsid w:val="4E5C712A"/>
    <w:rsid w:val="4E821BAA"/>
    <w:rsid w:val="4E866187"/>
    <w:rsid w:val="4EA25710"/>
    <w:rsid w:val="4EB000D3"/>
    <w:rsid w:val="4ED432D3"/>
    <w:rsid w:val="4F105D44"/>
    <w:rsid w:val="4F6E5524"/>
    <w:rsid w:val="4FB40A0A"/>
    <w:rsid w:val="4FE96D90"/>
    <w:rsid w:val="4FEA236B"/>
    <w:rsid w:val="50147B70"/>
    <w:rsid w:val="501A11B7"/>
    <w:rsid w:val="502F0E22"/>
    <w:rsid w:val="503D4610"/>
    <w:rsid w:val="5070592D"/>
    <w:rsid w:val="50710ED8"/>
    <w:rsid w:val="507A030E"/>
    <w:rsid w:val="509462D0"/>
    <w:rsid w:val="50F45E6D"/>
    <w:rsid w:val="50F51557"/>
    <w:rsid w:val="51A67337"/>
    <w:rsid w:val="51AD3D02"/>
    <w:rsid w:val="51DC6281"/>
    <w:rsid w:val="520C472E"/>
    <w:rsid w:val="523A17FC"/>
    <w:rsid w:val="52730954"/>
    <w:rsid w:val="52C57509"/>
    <w:rsid w:val="530C1669"/>
    <w:rsid w:val="53104FF3"/>
    <w:rsid w:val="535A42C0"/>
    <w:rsid w:val="53A66F6C"/>
    <w:rsid w:val="53A8301E"/>
    <w:rsid w:val="53AE34C9"/>
    <w:rsid w:val="549C6DBA"/>
    <w:rsid w:val="54AE4B77"/>
    <w:rsid w:val="54B64947"/>
    <w:rsid w:val="55560686"/>
    <w:rsid w:val="55DD366F"/>
    <w:rsid w:val="561F7184"/>
    <w:rsid w:val="56392B05"/>
    <w:rsid w:val="56562308"/>
    <w:rsid w:val="5668447C"/>
    <w:rsid w:val="56686009"/>
    <w:rsid w:val="56966559"/>
    <w:rsid w:val="56B21163"/>
    <w:rsid w:val="56B35EA7"/>
    <w:rsid w:val="56D52E2B"/>
    <w:rsid w:val="5703780B"/>
    <w:rsid w:val="57143E2F"/>
    <w:rsid w:val="571C1DF1"/>
    <w:rsid w:val="57314E4E"/>
    <w:rsid w:val="57472442"/>
    <w:rsid w:val="57642782"/>
    <w:rsid w:val="57910EEC"/>
    <w:rsid w:val="57B93333"/>
    <w:rsid w:val="57CB25CC"/>
    <w:rsid w:val="581B2712"/>
    <w:rsid w:val="58313B83"/>
    <w:rsid w:val="583355C2"/>
    <w:rsid w:val="5883472C"/>
    <w:rsid w:val="58AA6505"/>
    <w:rsid w:val="58DD2F95"/>
    <w:rsid w:val="58E10BDE"/>
    <w:rsid w:val="59365FBF"/>
    <w:rsid w:val="59653465"/>
    <w:rsid w:val="59785C59"/>
    <w:rsid w:val="599754A7"/>
    <w:rsid w:val="59B85DDA"/>
    <w:rsid w:val="5A1836EB"/>
    <w:rsid w:val="5A824155"/>
    <w:rsid w:val="5A955476"/>
    <w:rsid w:val="5AD20352"/>
    <w:rsid w:val="5AE970FE"/>
    <w:rsid w:val="5B191377"/>
    <w:rsid w:val="5B195DCB"/>
    <w:rsid w:val="5B1A1473"/>
    <w:rsid w:val="5B5A5710"/>
    <w:rsid w:val="5B5F2066"/>
    <w:rsid w:val="5BB91D4F"/>
    <w:rsid w:val="5BC3339C"/>
    <w:rsid w:val="5BC85E20"/>
    <w:rsid w:val="5C141590"/>
    <w:rsid w:val="5D4D4876"/>
    <w:rsid w:val="5DB7364F"/>
    <w:rsid w:val="5DE01011"/>
    <w:rsid w:val="5DFF3AC4"/>
    <w:rsid w:val="5E263E4C"/>
    <w:rsid w:val="5E2A7B88"/>
    <w:rsid w:val="5ECF56DD"/>
    <w:rsid w:val="5EF21D08"/>
    <w:rsid w:val="5EFC55C2"/>
    <w:rsid w:val="5F216531"/>
    <w:rsid w:val="5F3C6B9D"/>
    <w:rsid w:val="5F894125"/>
    <w:rsid w:val="5F977E59"/>
    <w:rsid w:val="603F6015"/>
    <w:rsid w:val="60672361"/>
    <w:rsid w:val="60911F51"/>
    <w:rsid w:val="60971F86"/>
    <w:rsid w:val="60DC718D"/>
    <w:rsid w:val="611E6F2B"/>
    <w:rsid w:val="613E5BFE"/>
    <w:rsid w:val="621B2348"/>
    <w:rsid w:val="624C5DA4"/>
    <w:rsid w:val="62607B57"/>
    <w:rsid w:val="626D63D0"/>
    <w:rsid w:val="628042DF"/>
    <w:rsid w:val="62951C1B"/>
    <w:rsid w:val="630854AB"/>
    <w:rsid w:val="634D74F9"/>
    <w:rsid w:val="635031CD"/>
    <w:rsid w:val="6371605C"/>
    <w:rsid w:val="63A21FFE"/>
    <w:rsid w:val="63A97F35"/>
    <w:rsid w:val="63AB1A91"/>
    <w:rsid w:val="64324C0C"/>
    <w:rsid w:val="643D3240"/>
    <w:rsid w:val="6458289B"/>
    <w:rsid w:val="64724938"/>
    <w:rsid w:val="64A5552C"/>
    <w:rsid w:val="64C47B18"/>
    <w:rsid w:val="65A119E7"/>
    <w:rsid w:val="65C126FF"/>
    <w:rsid w:val="65F93D81"/>
    <w:rsid w:val="66317CF6"/>
    <w:rsid w:val="663C410E"/>
    <w:rsid w:val="669D13B7"/>
    <w:rsid w:val="66B546F0"/>
    <w:rsid w:val="66B83C92"/>
    <w:rsid w:val="66DE070A"/>
    <w:rsid w:val="6703549C"/>
    <w:rsid w:val="673A2A49"/>
    <w:rsid w:val="674F314A"/>
    <w:rsid w:val="675A6D1E"/>
    <w:rsid w:val="676D2E91"/>
    <w:rsid w:val="67F03179"/>
    <w:rsid w:val="68105B0A"/>
    <w:rsid w:val="68123593"/>
    <w:rsid w:val="683C73B1"/>
    <w:rsid w:val="684D2237"/>
    <w:rsid w:val="68760BC9"/>
    <w:rsid w:val="689C6CD7"/>
    <w:rsid w:val="68AD1290"/>
    <w:rsid w:val="68C24091"/>
    <w:rsid w:val="68DF53F1"/>
    <w:rsid w:val="692E1B1A"/>
    <w:rsid w:val="695F493B"/>
    <w:rsid w:val="696F6BE4"/>
    <w:rsid w:val="698039BA"/>
    <w:rsid w:val="69EC590D"/>
    <w:rsid w:val="69F71F6E"/>
    <w:rsid w:val="6A023AC4"/>
    <w:rsid w:val="6A043B2B"/>
    <w:rsid w:val="6A7E4AAF"/>
    <w:rsid w:val="6AA62419"/>
    <w:rsid w:val="6AB514DC"/>
    <w:rsid w:val="6ACD6505"/>
    <w:rsid w:val="6AD31D28"/>
    <w:rsid w:val="6AFF1433"/>
    <w:rsid w:val="6B195042"/>
    <w:rsid w:val="6B9F7419"/>
    <w:rsid w:val="6BD6029E"/>
    <w:rsid w:val="6BD878B3"/>
    <w:rsid w:val="6C1A3DE9"/>
    <w:rsid w:val="6C6B172C"/>
    <w:rsid w:val="6C7C54BE"/>
    <w:rsid w:val="6C9D1D07"/>
    <w:rsid w:val="6CB23515"/>
    <w:rsid w:val="6CB32F8B"/>
    <w:rsid w:val="6CBD6E76"/>
    <w:rsid w:val="6CBE69DE"/>
    <w:rsid w:val="6CE6053C"/>
    <w:rsid w:val="6CF926FA"/>
    <w:rsid w:val="6D232396"/>
    <w:rsid w:val="6D303383"/>
    <w:rsid w:val="6D9564A1"/>
    <w:rsid w:val="6DC00A06"/>
    <w:rsid w:val="6DF2156F"/>
    <w:rsid w:val="6DF7402B"/>
    <w:rsid w:val="6DF93875"/>
    <w:rsid w:val="6EA01B25"/>
    <w:rsid w:val="6EB56BD7"/>
    <w:rsid w:val="6F5B418D"/>
    <w:rsid w:val="6F915FDB"/>
    <w:rsid w:val="6FD315C3"/>
    <w:rsid w:val="6FF723C3"/>
    <w:rsid w:val="701704B6"/>
    <w:rsid w:val="70474D32"/>
    <w:rsid w:val="704C651B"/>
    <w:rsid w:val="70772053"/>
    <w:rsid w:val="70DC241A"/>
    <w:rsid w:val="70F806AF"/>
    <w:rsid w:val="716E59A9"/>
    <w:rsid w:val="71AA05CD"/>
    <w:rsid w:val="71DB12B3"/>
    <w:rsid w:val="72993414"/>
    <w:rsid w:val="72D73A11"/>
    <w:rsid w:val="72F01471"/>
    <w:rsid w:val="73047240"/>
    <w:rsid w:val="7350660E"/>
    <w:rsid w:val="73B30DE8"/>
    <w:rsid w:val="74175395"/>
    <w:rsid w:val="74180CAE"/>
    <w:rsid w:val="745E14CE"/>
    <w:rsid w:val="74612D49"/>
    <w:rsid w:val="74627BBE"/>
    <w:rsid w:val="74A21188"/>
    <w:rsid w:val="74BE2D01"/>
    <w:rsid w:val="74BF0FAA"/>
    <w:rsid w:val="74EA40F3"/>
    <w:rsid w:val="75011284"/>
    <w:rsid w:val="7511571C"/>
    <w:rsid w:val="75171229"/>
    <w:rsid w:val="75210FD7"/>
    <w:rsid w:val="752D40F6"/>
    <w:rsid w:val="753668F2"/>
    <w:rsid w:val="753B4778"/>
    <w:rsid w:val="754F13C9"/>
    <w:rsid w:val="758555E1"/>
    <w:rsid w:val="75B40CC5"/>
    <w:rsid w:val="75C0143F"/>
    <w:rsid w:val="75C0608E"/>
    <w:rsid w:val="75CE37A6"/>
    <w:rsid w:val="75CF43CE"/>
    <w:rsid w:val="75E06548"/>
    <w:rsid w:val="75EC7066"/>
    <w:rsid w:val="760C57E3"/>
    <w:rsid w:val="76930EED"/>
    <w:rsid w:val="769E0D19"/>
    <w:rsid w:val="76EA76C2"/>
    <w:rsid w:val="76F507BA"/>
    <w:rsid w:val="772546B8"/>
    <w:rsid w:val="772D27AF"/>
    <w:rsid w:val="774A78C1"/>
    <w:rsid w:val="78533997"/>
    <w:rsid w:val="78D056D3"/>
    <w:rsid w:val="78F20AC6"/>
    <w:rsid w:val="794E7D2A"/>
    <w:rsid w:val="79747571"/>
    <w:rsid w:val="799A0EF5"/>
    <w:rsid w:val="79FA7066"/>
    <w:rsid w:val="79FE105C"/>
    <w:rsid w:val="7A0D12B9"/>
    <w:rsid w:val="7A11454C"/>
    <w:rsid w:val="7A2D6D03"/>
    <w:rsid w:val="7A9279A1"/>
    <w:rsid w:val="7AE73146"/>
    <w:rsid w:val="7B276F1B"/>
    <w:rsid w:val="7B2B332F"/>
    <w:rsid w:val="7B663C59"/>
    <w:rsid w:val="7B683207"/>
    <w:rsid w:val="7B6A6379"/>
    <w:rsid w:val="7BDC5744"/>
    <w:rsid w:val="7C2876C8"/>
    <w:rsid w:val="7CAD2803"/>
    <w:rsid w:val="7CAE64BE"/>
    <w:rsid w:val="7CB54CD9"/>
    <w:rsid w:val="7CBE5D19"/>
    <w:rsid w:val="7D4816AF"/>
    <w:rsid w:val="7D661672"/>
    <w:rsid w:val="7DA5658D"/>
    <w:rsid w:val="7DE90634"/>
    <w:rsid w:val="7E170D1B"/>
    <w:rsid w:val="7E26327E"/>
    <w:rsid w:val="7E443971"/>
    <w:rsid w:val="7E6F31CB"/>
    <w:rsid w:val="7E773529"/>
    <w:rsid w:val="7E9F0690"/>
    <w:rsid w:val="7EBD792C"/>
    <w:rsid w:val="7F16330A"/>
    <w:rsid w:val="7F2D10E0"/>
    <w:rsid w:val="7F590EFE"/>
    <w:rsid w:val="7F742D5A"/>
    <w:rsid w:val="7F9D7EA1"/>
    <w:rsid w:val="7FBE2D05"/>
    <w:rsid w:val="7FD67E26"/>
    <w:rsid w:val="7FDC5C54"/>
    <w:rsid w:val="7FF34F89"/>
    <w:rsid w:val="7FFF61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nhideWhenUsed="0" w:uiPriority="99" w:semiHidden="0" w:name="heading 6"/>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uiPriority="39" w:name="toc 5" w:locked="1"/>
    <w:lsdException w:uiPriority="39" w:name="toc 6" w:locked="1"/>
    <w:lsdException w:qFormat="1" w:unhideWhenUsed="0" w:uiPriority="99" w:name="toc 7"/>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qFormat="1" w:unhideWhenUsed="0" w:uiPriority="99" w:semiHidden="0" w:name="Closing"/>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uiPriority="99" w:name="Body Text Indent 3" w:locked="1"/>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46"/>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4">
    <w:name w:val="heading 2"/>
    <w:basedOn w:val="1"/>
    <w:next w:val="1"/>
    <w:link w:val="47"/>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1"/>
    <w:link w:val="48"/>
    <w:qFormat/>
    <w:uiPriority w:val="99"/>
    <w:pPr>
      <w:keepNext/>
      <w:keepLines/>
      <w:spacing w:before="260" w:after="260" w:line="416" w:lineRule="auto"/>
      <w:jc w:val="center"/>
      <w:outlineLvl w:val="2"/>
    </w:pPr>
    <w:rPr>
      <w:b/>
      <w:bCs/>
      <w:sz w:val="28"/>
      <w:szCs w:val="28"/>
    </w:rPr>
  </w:style>
  <w:style w:type="paragraph" w:styleId="6">
    <w:name w:val="heading 4"/>
    <w:basedOn w:val="1"/>
    <w:next w:val="1"/>
    <w:link w:val="49"/>
    <w:qFormat/>
    <w:uiPriority w:val="99"/>
    <w:pPr>
      <w:keepNext/>
      <w:keepLines/>
      <w:spacing w:before="280" w:after="290" w:line="376" w:lineRule="auto"/>
      <w:outlineLvl w:val="3"/>
    </w:pPr>
    <w:rPr>
      <w:rFonts w:ascii="Arial" w:hAnsi="Arial" w:eastAsia="黑体" w:cs="Arial"/>
      <w:b/>
      <w:bCs/>
      <w:sz w:val="28"/>
      <w:szCs w:val="28"/>
    </w:rPr>
  </w:style>
  <w:style w:type="paragraph" w:styleId="7">
    <w:name w:val="heading 6"/>
    <w:basedOn w:val="1"/>
    <w:next w:val="1"/>
    <w:link w:val="50"/>
    <w:qFormat/>
    <w:uiPriority w:val="99"/>
    <w:pPr>
      <w:keepNext/>
      <w:keepLines/>
      <w:spacing w:before="240" w:after="64" w:line="317" w:lineRule="auto"/>
      <w:outlineLvl w:val="5"/>
    </w:pPr>
    <w:rPr>
      <w:rFonts w:ascii="Cambria" w:hAnsi="Cambria" w:cs="Cambria"/>
      <w:b/>
      <w:bCs/>
      <w:sz w:val="24"/>
      <w:szCs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locked/>
    <w:uiPriority w:val="0"/>
    <w:pPr>
      <w:spacing w:after="120" w:afterLines="0" w:line="240" w:lineRule="auto"/>
      <w:ind w:left="1440" w:leftChars="700" w:right="1440" w:rightChars="700"/>
    </w:pPr>
    <w:rPr>
      <w:rFonts w:ascii="Calibri" w:hAnsi="Calibri" w:eastAsia="宋体" w:cs="黑体"/>
      <w:kern w:val="2"/>
      <w:sz w:val="21"/>
    </w:rPr>
  </w:style>
  <w:style w:type="paragraph" w:styleId="8">
    <w:name w:val="toc 7"/>
    <w:basedOn w:val="1"/>
    <w:next w:val="1"/>
    <w:semiHidden/>
    <w:qFormat/>
    <w:uiPriority w:val="99"/>
    <w:pPr>
      <w:ind w:left="112"/>
    </w:pPr>
    <w:rPr>
      <w:rFonts w:ascii="宋体" w:hAnsi="宋体" w:cs="宋体"/>
    </w:rPr>
  </w:style>
  <w:style w:type="paragraph" w:styleId="9">
    <w:name w:val="Normal Indent"/>
    <w:basedOn w:val="1"/>
    <w:link w:val="129"/>
    <w:qFormat/>
    <w:uiPriority w:val="99"/>
    <w:pPr>
      <w:ind w:firstLine="420" w:firstLineChars="200"/>
    </w:pPr>
  </w:style>
  <w:style w:type="paragraph" w:styleId="10">
    <w:name w:val="caption"/>
    <w:basedOn w:val="1"/>
    <w:next w:val="1"/>
    <w:qFormat/>
    <w:uiPriority w:val="99"/>
    <w:rPr>
      <w:rFonts w:ascii="Arial" w:hAnsi="Arial" w:eastAsia="黑体" w:cs="Arial"/>
      <w:sz w:val="20"/>
      <w:szCs w:val="20"/>
    </w:rPr>
  </w:style>
  <w:style w:type="paragraph" w:styleId="11">
    <w:name w:val="Document Map"/>
    <w:basedOn w:val="1"/>
    <w:link w:val="55"/>
    <w:semiHidden/>
    <w:qFormat/>
    <w:uiPriority w:val="99"/>
    <w:pPr>
      <w:shd w:val="clear" w:color="auto" w:fill="000080"/>
    </w:pPr>
  </w:style>
  <w:style w:type="paragraph" w:styleId="12">
    <w:name w:val="annotation text"/>
    <w:basedOn w:val="1"/>
    <w:link w:val="53"/>
    <w:semiHidden/>
    <w:qFormat/>
    <w:uiPriority w:val="99"/>
    <w:pPr>
      <w:jc w:val="left"/>
    </w:pPr>
    <w:rPr>
      <w:rFonts w:ascii="Times New Roman" w:hAnsi="Times New Roman" w:cs="Times New Roman"/>
    </w:rPr>
  </w:style>
  <w:style w:type="paragraph" w:styleId="13">
    <w:name w:val="Body Text 3"/>
    <w:basedOn w:val="1"/>
    <w:link w:val="56"/>
    <w:qFormat/>
    <w:uiPriority w:val="99"/>
    <w:pPr>
      <w:spacing w:after="120"/>
    </w:pPr>
    <w:rPr>
      <w:sz w:val="16"/>
      <w:szCs w:val="16"/>
    </w:rPr>
  </w:style>
  <w:style w:type="paragraph" w:styleId="14">
    <w:name w:val="Closing"/>
    <w:basedOn w:val="1"/>
    <w:link w:val="57"/>
    <w:qFormat/>
    <w:uiPriority w:val="99"/>
    <w:pPr>
      <w:ind w:left="100" w:leftChars="2100"/>
    </w:pPr>
    <w:rPr>
      <w:rFonts w:ascii="宋体" w:hAnsi="宋体" w:cs="宋体"/>
      <w:color w:val="000000"/>
      <w:sz w:val="24"/>
      <w:szCs w:val="24"/>
    </w:rPr>
  </w:style>
  <w:style w:type="paragraph" w:styleId="15">
    <w:name w:val="Body Text"/>
    <w:basedOn w:val="1"/>
    <w:next w:val="1"/>
    <w:link w:val="51"/>
    <w:qFormat/>
    <w:uiPriority w:val="99"/>
    <w:pPr>
      <w:spacing w:after="120"/>
    </w:pPr>
    <w:rPr>
      <w:rFonts w:ascii="Times New Roman" w:hAnsi="Times New Roman" w:cs="Times New Roman"/>
    </w:rPr>
  </w:style>
  <w:style w:type="paragraph" w:styleId="16">
    <w:name w:val="Body Text Indent"/>
    <w:basedOn w:val="1"/>
    <w:link w:val="58"/>
    <w:qFormat/>
    <w:uiPriority w:val="99"/>
    <w:pPr>
      <w:spacing w:after="120"/>
      <w:ind w:left="420" w:leftChars="200"/>
    </w:pPr>
    <w:rPr>
      <w:rFonts w:ascii="Times New Roman" w:hAnsi="Times New Roman" w:cs="Times New Roman"/>
    </w:rPr>
  </w:style>
  <w:style w:type="paragraph" w:styleId="17">
    <w:name w:val="toc 3"/>
    <w:basedOn w:val="1"/>
    <w:next w:val="1"/>
    <w:semiHidden/>
    <w:qFormat/>
    <w:uiPriority w:val="99"/>
    <w:pPr>
      <w:ind w:left="840" w:leftChars="400"/>
    </w:pPr>
  </w:style>
  <w:style w:type="paragraph" w:styleId="18">
    <w:name w:val="Plain Text"/>
    <w:basedOn w:val="1"/>
    <w:link w:val="59"/>
    <w:qFormat/>
    <w:uiPriority w:val="99"/>
    <w:rPr>
      <w:rFonts w:ascii="宋体" w:hAnsi="Courier New" w:cs="宋体"/>
    </w:rPr>
  </w:style>
  <w:style w:type="paragraph" w:styleId="19">
    <w:name w:val="Date"/>
    <w:basedOn w:val="1"/>
    <w:next w:val="1"/>
    <w:link w:val="60"/>
    <w:qFormat/>
    <w:uiPriority w:val="99"/>
    <w:rPr>
      <w:rFonts w:ascii="宋体" w:hAnsi="Courier New" w:cs="宋体"/>
      <w:sz w:val="32"/>
      <w:szCs w:val="32"/>
    </w:rPr>
  </w:style>
  <w:style w:type="paragraph" w:styleId="20">
    <w:name w:val="Body Text Indent 2"/>
    <w:basedOn w:val="1"/>
    <w:link w:val="61"/>
    <w:qFormat/>
    <w:uiPriority w:val="99"/>
    <w:pPr>
      <w:spacing w:line="500" w:lineRule="exact"/>
      <w:ind w:left="397" w:firstLine="539"/>
    </w:pPr>
    <w:rPr>
      <w:rFonts w:ascii="宋体" w:hAnsi="华文中宋" w:cs="宋体"/>
      <w:sz w:val="26"/>
      <w:szCs w:val="26"/>
    </w:rPr>
  </w:style>
  <w:style w:type="paragraph" w:styleId="21">
    <w:name w:val="Balloon Text"/>
    <w:basedOn w:val="1"/>
    <w:link w:val="62"/>
    <w:semiHidden/>
    <w:qFormat/>
    <w:uiPriority w:val="99"/>
    <w:rPr>
      <w:rFonts w:ascii="Times New Roman" w:hAnsi="Times New Roman" w:cs="Times New Roman"/>
      <w:sz w:val="18"/>
      <w:szCs w:val="18"/>
    </w:rPr>
  </w:style>
  <w:style w:type="paragraph" w:styleId="22">
    <w:name w:val="footer"/>
    <w:basedOn w:val="1"/>
    <w:link w:val="63"/>
    <w:qFormat/>
    <w:uiPriority w:val="99"/>
    <w:pPr>
      <w:tabs>
        <w:tab w:val="center" w:pos="4153"/>
        <w:tab w:val="right" w:pos="8306"/>
      </w:tabs>
      <w:snapToGrid w:val="0"/>
      <w:jc w:val="left"/>
    </w:pPr>
    <w:rPr>
      <w:rFonts w:ascii="Times New Roman" w:hAnsi="Times New Roman" w:cs="Times New Roman"/>
      <w:sz w:val="18"/>
      <w:szCs w:val="18"/>
    </w:rPr>
  </w:style>
  <w:style w:type="paragraph" w:styleId="23">
    <w:name w:val="header"/>
    <w:basedOn w:val="1"/>
    <w:link w:val="64"/>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24">
    <w:name w:val="toc 1"/>
    <w:basedOn w:val="1"/>
    <w:next w:val="1"/>
    <w:semiHidden/>
    <w:qFormat/>
    <w:uiPriority w:val="99"/>
    <w:pPr>
      <w:tabs>
        <w:tab w:val="right" w:leader="dot" w:pos="8299"/>
      </w:tabs>
      <w:spacing w:line="360" w:lineRule="exact"/>
    </w:pPr>
    <w:rPr>
      <w:rFonts w:ascii="宋体" w:hAnsi="宋体" w:cs="宋体"/>
      <w:sz w:val="24"/>
      <w:szCs w:val="24"/>
    </w:rPr>
  </w:style>
  <w:style w:type="paragraph" w:styleId="25">
    <w:name w:val="toc 4"/>
    <w:basedOn w:val="1"/>
    <w:next w:val="1"/>
    <w:semiHidden/>
    <w:qFormat/>
    <w:uiPriority w:val="99"/>
    <w:pPr>
      <w:ind w:left="1260" w:leftChars="600"/>
    </w:pPr>
  </w:style>
  <w:style w:type="paragraph" w:styleId="26">
    <w:name w:val="index heading"/>
    <w:basedOn w:val="1"/>
    <w:next w:val="27"/>
    <w:semiHidden/>
    <w:qFormat/>
    <w:uiPriority w:val="99"/>
  </w:style>
  <w:style w:type="paragraph" w:styleId="27">
    <w:name w:val="index 1"/>
    <w:basedOn w:val="1"/>
    <w:next w:val="1"/>
    <w:semiHidden/>
    <w:qFormat/>
    <w:uiPriority w:val="99"/>
  </w:style>
  <w:style w:type="paragraph" w:styleId="28">
    <w:name w:val="Subtitle"/>
    <w:basedOn w:val="1"/>
    <w:next w:val="1"/>
    <w:link w:val="65"/>
    <w:qFormat/>
    <w:uiPriority w:val="99"/>
    <w:pPr>
      <w:spacing w:before="240" w:after="60" w:line="312" w:lineRule="auto"/>
      <w:jc w:val="center"/>
      <w:outlineLvl w:val="1"/>
    </w:pPr>
    <w:rPr>
      <w:rFonts w:ascii="Cambria" w:hAnsi="Cambria" w:cs="Cambria"/>
      <w:b/>
      <w:bCs/>
      <w:kern w:val="28"/>
      <w:sz w:val="32"/>
      <w:szCs w:val="32"/>
    </w:rPr>
  </w:style>
  <w:style w:type="paragraph" w:styleId="29">
    <w:name w:val="toc 2"/>
    <w:basedOn w:val="1"/>
    <w:next w:val="1"/>
    <w:semiHidden/>
    <w:qFormat/>
    <w:uiPriority w:val="99"/>
    <w:pPr>
      <w:tabs>
        <w:tab w:val="right" w:leader="dot" w:pos="8296"/>
      </w:tabs>
      <w:spacing w:line="440" w:lineRule="exact"/>
      <w:ind w:firstLine="181" w:firstLineChars="75"/>
      <w:jc w:val="center"/>
    </w:pPr>
    <w:rPr>
      <w:rFonts w:ascii="宋体" w:hAnsi="宋体" w:cs="宋体"/>
      <w:b/>
      <w:bCs/>
      <w:smallCaps/>
      <w:sz w:val="24"/>
      <w:szCs w:val="24"/>
    </w:rPr>
  </w:style>
  <w:style w:type="paragraph" w:styleId="30">
    <w:name w:val="Body Text 2"/>
    <w:basedOn w:val="1"/>
    <w:link w:val="66"/>
    <w:qFormat/>
    <w:uiPriority w:val="99"/>
    <w:pPr>
      <w:spacing w:line="360" w:lineRule="auto"/>
    </w:pPr>
    <w:rPr>
      <w:rFonts w:ascii="宋体" w:hAnsi="宋体" w:cs="宋体"/>
      <w:color w:val="000000"/>
      <w:sz w:val="24"/>
      <w:szCs w:val="24"/>
    </w:rPr>
  </w:style>
  <w:style w:type="paragraph" w:styleId="31">
    <w:name w:val="HTML Preformatted"/>
    <w:basedOn w:val="1"/>
    <w:link w:val="6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3">
    <w:name w:val="Title"/>
    <w:basedOn w:val="1"/>
    <w:next w:val="1"/>
    <w:link w:val="68"/>
    <w:qFormat/>
    <w:uiPriority w:val="99"/>
    <w:pPr>
      <w:spacing w:before="240" w:after="60"/>
      <w:jc w:val="center"/>
      <w:outlineLvl w:val="0"/>
    </w:pPr>
    <w:rPr>
      <w:rFonts w:ascii="Arial" w:hAnsi="Arial" w:eastAsia="隶书" w:cs="Arial"/>
      <w:b/>
      <w:bCs/>
      <w:sz w:val="32"/>
      <w:szCs w:val="32"/>
    </w:rPr>
  </w:style>
  <w:style w:type="paragraph" w:styleId="34">
    <w:name w:val="annotation subject"/>
    <w:basedOn w:val="12"/>
    <w:next w:val="12"/>
    <w:link w:val="54"/>
    <w:semiHidden/>
    <w:qFormat/>
    <w:uiPriority w:val="99"/>
    <w:rPr>
      <w:b/>
      <w:bCs/>
    </w:rPr>
  </w:style>
  <w:style w:type="paragraph" w:styleId="35">
    <w:name w:val="Body Text First Indent"/>
    <w:basedOn w:val="1"/>
    <w:link w:val="52"/>
    <w:qFormat/>
    <w:uiPriority w:val="99"/>
    <w:pPr>
      <w:ind w:firstLine="420" w:firstLineChars="100"/>
    </w:pPr>
  </w:style>
  <w:style w:type="table" w:styleId="37">
    <w:name w:val="Table Grid"/>
    <w:basedOn w:val="3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99"/>
    <w:rPr>
      <w:b/>
      <w:bCs/>
    </w:rPr>
  </w:style>
  <w:style w:type="character" w:styleId="40">
    <w:name w:val="page number"/>
    <w:basedOn w:val="38"/>
    <w:qFormat/>
    <w:uiPriority w:val="0"/>
    <w:rPr>
      <w:rFonts w:ascii="Arial" w:hAnsi="Arial" w:cs="Arial"/>
      <w:sz w:val="18"/>
      <w:szCs w:val="18"/>
    </w:rPr>
  </w:style>
  <w:style w:type="character" w:styleId="41">
    <w:name w:val="FollowedHyperlink"/>
    <w:qFormat/>
    <w:uiPriority w:val="99"/>
    <w:rPr>
      <w:color w:val="800080"/>
      <w:u w:val="single"/>
    </w:rPr>
  </w:style>
  <w:style w:type="character" w:styleId="42">
    <w:name w:val="Emphasis"/>
    <w:qFormat/>
    <w:uiPriority w:val="99"/>
    <w:rPr>
      <w:color w:val="auto"/>
    </w:rPr>
  </w:style>
  <w:style w:type="character" w:styleId="43">
    <w:name w:val="Hyperlink"/>
    <w:qFormat/>
    <w:uiPriority w:val="99"/>
    <w:rPr>
      <w:color w:val="0000FF"/>
      <w:u w:val="single"/>
    </w:rPr>
  </w:style>
  <w:style w:type="character" w:styleId="44">
    <w:name w:val="annotation reference"/>
    <w:semiHidden/>
    <w:qFormat/>
    <w:uiPriority w:val="99"/>
    <w:rPr>
      <w:sz w:val="21"/>
      <w:szCs w:val="21"/>
    </w:rPr>
  </w:style>
  <w:style w:type="character" w:styleId="45">
    <w:name w:val="HTML Cite"/>
    <w:qFormat/>
    <w:uiPriority w:val="99"/>
    <w:rPr>
      <w:color w:val="008000"/>
    </w:rPr>
  </w:style>
  <w:style w:type="character" w:customStyle="1" w:styleId="46">
    <w:name w:val="标题 1 Char"/>
    <w:link w:val="3"/>
    <w:qFormat/>
    <w:locked/>
    <w:uiPriority w:val="99"/>
    <w:rPr>
      <w:b/>
      <w:bCs/>
      <w:kern w:val="44"/>
      <w:sz w:val="44"/>
      <w:szCs w:val="44"/>
    </w:rPr>
  </w:style>
  <w:style w:type="character" w:customStyle="1" w:styleId="47">
    <w:name w:val="标题 2 Char"/>
    <w:link w:val="4"/>
    <w:qFormat/>
    <w:locked/>
    <w:uiPriority w:val="99"/>
    <w:rPr>
      <w:rFonts w:ascii="Arial" w:hAnsi="Arial" w:eastAsia="黑体" w:cs="Arial"/>
      <w:b/>
      <w:bCs/>
      <w:kern w:val="2"/>
      <w:sz w:val="32"/>
      <w:szCs w:val="32"/>
      <w:lang w:val="en-US" w:eastAsia="zh-CN"/>
    </w:rPr>
  </w:style>
  <w:style w:type="character" w:customStyle="1" w:styleId="48">
    <w:name w:val="标题 3 Char"/>
    <w:link w:val="5"/>
    <w:semiHidden/>
    <w:qFormat/>
    <w:uiPriority w:val="9"/>
    <w:rPr>
      <w:rFonts w:ascii="Calibri" w:hAnsi="Calibri" w:cs="Calibri"/>
      <w:b/>
      <w:bCs/>
      <w:sz w:val="32"/>
      <w:szCs w:val="32"/>
    </w:rPr>
  </w:style>
  <w:style w:type="character" w:customStyle="1" w:styleId="49">
    <w:name w:val="标题 4 Char"/>
    <w:link w:val="6"/>
    <w:qFormat/>
    <w:locked/>
    <w:uiPriority w:val="99"/>
    <w:rPr>
      <w:rFonts w:ascii="Arial" w:hAnsi="Arial" w:eastAsia="黑体" w:cs="Arial"/>
      <w:b/>
      <w:bCs/>
      <w:kern w:val="2"/>
      <w:sz w:val="28"/>
      <w:szCs w:val="28"/>
      <w:lang w:val="en-US" w:eastAsia="zh-CN"/>
    </w:rPr>
  </w:style>
  <w:style w:type="character" w:customStyle="1" w:styleId="50">
    <w:name w:val="标题 6 Char"/>
    <w:link w:val="7"/>
    <w:qFormat/>
    <w:locked/>
    <w:uiPriority w:val="99"/>
    <w:rPr>
      <w:rFonts w:ascii="Cambria" w:hAnsi="Cambria" w:eastAsia="宋体" w:cs="Cambria"/>
      <w:b/>
      <w:bCs/>
      <w:kern w:val="2"/>
      <w:sz w:val="24"/>
      <w:szCs w:val="24"/>
      <w:lang w:val="en-US" w:eastAsia="zh-CN"/>
    </w:rPr>
  </w:style>
  <w:style w:type="character" w:customStyle="1" w:styleId="51">
    <w:name w:val="正文文本 Char"/>
    <w:link w:val="15"/>
    <w:qFormat/>
    <w:locked/>
    <w:uiPriority w:val="99"/>
    <w:rPr>
      <w:rFonts w:eastAsia="宋体"/>
      <w:kern w:val="2"/>
      <w:sz w:val="24"/>
      <w:szCs w:val="24"/>
      <w:lang w:val="en-US" w:eastAsia="zh-CN"/>
    </w:rPr>
  </w:style>
  <w:style w:type="character" w:customStyle="1" w:styleId="52">
    <w:name w:val="正文首行缩进 Char"/>
    <w:link w:val="35"/>
    <w:semiHidden/>
    <w:qFormat/>
    <w:uiPriority w:val="99"/>
    <w:rPr>
      <w:rFonts w:ascii="Calibri" w:hAnsi="Calibri" w:eastAsia="宋体" w:cs="Calibri"/>
      <w:kern w:val="2"/>
      <w:sz w:val="24"/>
      <w:szCs w:val="21"/>
      <w:lang w:val="en-US" w:eastAsia="zh-CN"/>
    </w:rPr>
  </w:style>
  <w:style w:type="character" w:customStyle="1" w:styleId="53">
    <w:name w:val="批注文字 Char"/>
    <w:link w:val="12"/>
    <w:qFormat/>
    <w:locked/>
    <w:uiPriority w:val="99"/>
    <w:rPr>
      <w:rFonts w:eastAsia="宋体"/>
      <w:kern w:val="2"/>
      <w:sz w:val="24"/>
      <w:szCs w:val="24"/>
      <w:lang w:val="en-US" w:eastAsia="zh-CN"/>
    </w:rPr>
  </w:style>
  <w:style w:type="character" w:customStyle="1" w:styleId="54">
    <w:name w:val="批注主题 Char"/>
    <w:link w:val="34"/>
    <w:qFormat/>
    <w:locked/>
    <w:uiPriority w:val="99"/>
    <w:rPr>
      <w:rFonts w:eastAsia="宋体"/>
      <w:b/>
      <w:bCs/>
      <w:kern w:val="2"/>
      <w:sz w:val="24"/>
      <w:szCs w:val="24"/>
      <w:lang w:val="en-US" w:eastAsia="zh-CN"/>
    </w:rPr>
  </w:style>
  <w:style w:type="character" w:customStyle="1" w:styleId="55">
    <w:name w:val="文档结构图 Char"/>
    <w:link w:val="11"/>
    <w:semiHidden/>
    <w:qFormat/>
    <w:uiPriority w:val="99"/>
    <w:rPr>
      <w:rFonts w:cs="Calibri"/>
      <w:sz w:val="0"/>
      <w:szCs w:val="0"/>
    </w:rPr>
  </w:style>
  <w:style w:type="character" w:customStyle="1" w:styleId="56">
    <w:name w:val="正文文本 3 Char"/>
    <w:link w:val="13"/>
    <w:semiHidden/>
    <w:qFormat/>
    <w:uiPriority w:val="99"/>
    <w:rPr>
      <w:rFonts w:ascii="Calibri" w:hAnsi="Calibri" w:cs="Calibri"/>
      <w:sz w:val="16"/>
      <w:szCs w:val="16"/>
    </w:rPr>
  </w:style>
  <w:style w:type="character" w:customStyle="1" w:styleId="57">
    <w:name w:val="结束语 Char"/>
    <w:link w:val="14"/>
    <w:semiHidden/>
    <w:qFormat/>
    <w:uiPriority w:val="99"/>
    <w:rPr>
      <w:rFonts w:ascii="Calibri" w:hAnsi="Calibri" w:cs="Calibri"/>
      <w:szCs w:val="21"/>
    </w:rPr>
  </w:style>
  <w:style w:type="character" w:customStyle="1" w:styleId="58">
    <w:name w:val="正文文本缩进 Char"/>
    <w:link w:val="16"/>
    <w:qFormat/>
    <w:locked/>
    <w:uiPriority w:val="99"/>
    <w:rPr>
      <w:rFonts w:eastAsia="宋体"/>
      <w:kern w:val="2"/>
      <w:sz w:val="24"/>
      <w:szCs w:val="24"/>
      <w:lang w:val="en-US" w:eastAsia="zh-CN"/>
    </w:rPr>
  </w:style>
  <w:style w:type="character" w:customStyle="1" w:styleId="59">
    <w:name w:val="纯文本 Char1"/>
    <w:link w:val="18"/>
    <w:semiHidden/>
    <w:qFormat/>
    <w:uiPriority w:val="99"/>
    <w:rPr>
      <w:rFonts w:ascii="宋体" w:hAnsi="Courier New" w:cs="Courier New"/>
      <w:szCs w:val="21"/>
    </w:rPr>
  </w:style>
  <w:style w:type="character" w:customStyle="1" w:styleId="60">
    <w:name w:val="日期 Char"/>
    <w:link w:val="19"/>
    <w:semiHidden/>
    <w:qFormat/>
    <w:uiPriority w:val="99"/>
    <w:rPr>
      <w:rFonts w:ascii="Calibri" w:hAnsi="Calibri" w:cs="Calibri"/>
      <w:szCs w:val="21"/>
    </w:rPr>
  </w:style>
  <w:style w:type="character" w:customStyle="1" w:styleId="61">
    <w:name w:val="正文文本缩进 2 Char"/>
    <w:link w:val="20"/>
    <w:qFormat/>
    <w:locked/>
    <w:uiPriority w:val="99"/>
    <w:rPr>
      <w:rFonts w:ascii="宋体" w:hAnsi="华文中宋" w:eastAsia="宋体" w:cs="宋体"/>
      <w:kern w:val="2"/>
      <w:sz w:val="26"/>
      <w:szCs w:val="26"/>
      <w:lang w:val="en-US" w:eastAsia="zh-CN"/>
    </w:rPr>
  </w:style>
  <w:style w:type="character" w:customStyle="1" w:styleId="62">
    <w:name w:val="批注框文本 Char1"/>
    <w:link w:val="21"/>
    <w:qFormat/>
    <w:locked/>
    <w:uiPriority w:val="99"/>
    <w:rPr>
      <w:rFonts w:eastAsia="宋体"/>
      <w:kern w:val="2"/>
      <w:sz w:val="18"/>
      <w:szCs w:val="18"/>
      <w:lang w:val="en-US" w:eastAsia="zh-CN"/>
    </w:rPr>
  </w:style>
  <w:style w:type="character" w:customStyle="1" w:styleId="63">
    <w:name w:val="页脚 Char1"/>
    <w:link w:val="22"/>
    <w:qFormat/>
    <w:locked/>
    <w:uiPriority w:val="99"/>
    <w:rPr>
      <w:rFonts w:eastAsia="宋体"/>
      <w:kern w:val="2"/>
      <w:sz w:val="18"/>
      <w:szCs w:val="18"/>
      <w:lang w:val="en-US" w:eastAsia="zh-CN"/>
    </w:rPr>
  </w:style>
  <w:style w:type="character" w:customStyle="1" w:styleId="64">
    <w:name w:val="页眉 Char1"/>
    <w:link w:val="23"/>
    <w:qFormat/>
    <w:locked/>
    <w:uiPriority w:val="99"/>
    <w:rPr>
      <w:rFonts w:eastAsia="宋体"/>
      <w:kern w:val="2"/>
      <w:sz w:val="18"/>
      <w:szCs w:val="18"/>
      <w:lang w:val="en-US" w:eastAsia="zh-CN"/>
    </w:rPr>
  </w:style>
  <w:style w:type="character" w:customStyle="1" w:styleId="65">
    <w:name w:val="副标题 Char"/>
    <w:link w:val="28"/>
    <w:qFormat/>
    <w:uiPriority w:val="11"/>
    <w:rPr>
      <w:rFonts w:ascii="Cambria" w:hAnsi="Cambria" w:cs="Times New Roman"/>
      <w:b/>
      <w:bCs/>
      <w:kern w:val="28"/>
      <w:sz w:val="32"/>
      <w:szCs w:val="32"/>
    </w:rPr>
  </w:style>
  <w:style w:type="character" w:customStyle="1" w:styleId="66">
    <w:name w:val="正文文本 2 Char"/>
    <w:link w:val="30"/>
    <w:qFormat/>
    <w:locked/>
    <w:uiPriority w:val="99"/>
    <w:rPr>
      <w:rFonts w:ascii="宋体" w:hAnsi="宋体" w:eastAsia="宋体" w:cs="宋体"/>
      <w:color w:val="000000"/>
      <w:kern w:val="2"/>
      <w:sz w:val="24"/>
      <w:szCs w:val="24"/>
      <w:lang w:val="en-US" w:eastAsia="zh-CN"/>
    </w:rPr>
  </w:style>
  <w:style w:type="character" w:customStyle="1" w:styleId="67">
    <w:name w:val="HTML 预设格式 Char"/>
    <w:link w:val="31"/>
    <w:semiHidden/>
    <w:qFormat/>
    <w:uiPriority w:val="99"/>
    <w:rPr>
      <w:rFonts w:ascii="Courier New" w:hAnsi="Courier New" w:cs="Courier New"/>
      <w:sz w:val="20"/>
      <w:szCs w:val="20"/>
    </w:rPr>
  </w:style>
  <w:style w:type="character" w:customStyle="1" w:styleId="68">
    <w:name w:val="标题 Char"/>
    <w:link w:val="33"/>
    <w:qFormat/>
    <w:uiPriority w:val="10"/>
    <w:rPr>
      <w:rFonts w:ascii="Cambria" w:hAnsi="Cambria" w:cs="Times New Roman"/>
      <w:b/>
      <w:bCs/>
      <w:sz w:val="32"/>
      <w:szCs w:val="32"/>
    </w:rPr>
  </w:style>
  <w:style w:type="character" w:customStyle="1" w:styleId="69">
    <w:name w:val="font71"/>
    <w:qFormat/>
    <w:uiPriority w:val="99"/>
    <w:rPr>
      <w:rFonts w:ascii="宋体" w:hAnsi="宋体" w:eastAsia="宋体" w:cs="宋体"/>
      <w:color w:val="000000"/>
      <w:sz w:val="28"/>
      <w:szCs w:val="28"/>
      <w:u w:val="none"/>
    </w:rPr>
  </w:style>
  <w:style w:type="character" w:customStyle="1" w:styleId="70">
    <w:name w:val="Font Style17"/>
    <w:qFormat/>
    <w:uiPriority w:val="99"/>
    <w:rPr>
      <w:rFonts w:ascii="黑体" w:eastAsia="黑体" w:cs="黑体"/>
      <w:sz w:val="28"/>
      <w:szCs w:val="28"/>
    </w:rPr>
  </w:style>
  <w:style w:type="character" w:customStyle="1" w:styleId="71">
    <w:name w:val="font41"/>
    <w:qFormat/>
    <w:uiPriority w:val="99"/>
    <w:rPr>
      <w:rFonts w:ascii="Times New Roman" w:hAnsi="Times New Roman" w:cs="Times New Roman"/>
      <w:color w:val="000000"/>
      <w:sz w:val="28"/>
      <w:szCs w:val="28"/>
      <w:u w:val="none"/>
    </w:rPr>
  </w:style>
  <w:style w:type="character" w:customStyle="1" w:styleId="72">
    <w:name w:val="font51"/>
    <w:qFormat/>
    <w:uiPriority w:val="99"/>
    <w:rPr>
      <w:rFonts w:ascii="Times New Roman" w:hAnsi="Times New Roman" w:cs="Times New Roman"/>
      <w:color w:val="000000"/>
      <w:sz w:val="28"/>
      <w:szCs w:val="28"/>
      <w:u w:val="none"/>
    </w:rPr>
  </w:style>
  <w:style w:type="character" w:customStyle="1" w:styleId="73">
    <w:name w:val="font81"/>
    <w:qFormat/>
    <w:uiPriority w:val="99"/>
    <w:rPr>
      <w:rFonts w:ascii="仿宋_GB2312" w:eastAsia="仿宋_GB2312" w:cs="仿宋_GB2312"/>
      <w:color w:val="000000"/>
      <w:sz w:val="28"/>
      <w:szCs w:val="28"/>
      <w:u w:val="none"/>
    </w:rPr>
  </w:style>
  <w:style w:type="character" w:customStyle="1" w:styleId="74">
    <w:name w:val="标题 3 Char1"/>
    <w:qFormat/>
    <w:uiPriority w:val="99"/>
    <w:rPr>
      <w:rFonts w:eastAsia="宋体"/>
      <w:b/>
      <w:bCs/>
      <w:kern w:val="2"/>
      <w:sz w:val="32"/>
      <w:szCs w:val="32"/>
      <w:lang w:val="en-US" w:eastAsia="zh-CN"/>
    </w:rPr>
  </w:style>
  <w:style w:type="character" w:customStyle="1" w:styleId="75">
    <w:name w:val="标题 3 Char Char"/>
    <w:qFormat/>
    <w:uiPriority w:val="99"/>
    <w:rPr>
      <w:rFonts w:ascii="黑体" w:eastAsia="黑体" w:cs="黑体"/>
      <w:sz w:val="30"/>
      <w:szCs w:val="30"/>
    </w:rPr>
  </w:style>
  <w:style w:type="character" w:customStyle="1" w:styleId="76">
    <w:name w:val="样式 小五"/>
    <w:qFormat/>
    <w:uiPriority w:val="99"/>
    <w:rPr>
      <w:rFonts w:eastAsia="仿宋_GB2312"/>
      <w:sz w:val="18"/>
      <w:szCs w:val="18"/>
    </w:rPr>
  </w:style>
  <w:style w:type="character" w:customStyle="1" w:styleId="77">
    <w:name w:val="批注框文本 Char"/>
    <w:qFormat/>
    <w:uiPriority w:val="99"/>
    <w:rPr>
      <w:rFonts w:ascii="Times New Roman" w:hAnsi="Times New Roman" w:eastAsia="宋体" w:cs="Times New Roman"/>
      <w:sz w:val="18"/>
      <w:szCs w:val="18"/>
    </w:rPr>
  </w:style>
  <w:style w:type="character" w:customStyle="1" w:styleId="78">
    <w:name w:val="font101"/>
    <w:qFormat/>
    <w:uiPriority w:val="99"/>
    <w:rPr>
      <w:rFonts w:ascii="宋体" w:hAnsi="宋体" w:eastAsia="宋体" w:cs="宋体"/>
      <w:color w:val="000000"/>
      <w:sz w:val="28"/>
      <w:szCs w:val="28"/>
      <w:u w:val="none"/>
    </w:rPr>
  </w:style>
  <w:style w:type="character" w:customStyle="1" w:styleId="79">
    <w:name w:val="样式 普通(网站) + 小五 Char Char"/>
    <w:link w:val="80"/>
    <w:qFormat/>
    <w:locked/>
    <w:uiPriority w:val="99"/>
    <w:rPr>
      <w:rFonts w:ascii="Arial Unicode MS" w:hAnsi="Arial Unicode MS" w:eastAsia="仿宋_GB2312" w:cs="Arial Unicode MS"/>
      <w:sz w:val="24"/>
      <w:szCs w:val="24"/>
      <w:lang w:val="en-US" w:eastAsia="zh-CN"/>
    </w:rPr>
  </w:style>
  <w:style w:type="paragraph" w:customStyle="1" w:styleId="80">
    <w:name w:val="样式 普通(网站) + 小五"/>
    <w:basedOn w:val="32"/>
    <w:link w:val="79"/>
    <w:qFormat/>
    <w:uiPriority w:val="99"/>
    <w:pPr>
      <w:spacing w:before="0" w:beforeAutospacing="0" w:after="0" w:afterAutospacing="0" w:line="240" w:lineRule="exact"/>
    </w:pPr>
    <w:rPr>
      <w:rFonts w:ascii="Arial Unicode MS" w:hAnsi="Arial Unicode MS" w:eastAsia="仿宋_GB2312" w:cs="Arial Unicode MS"/>
      <w:sz w:val="18"/>
      <w:szCs w:val="18"/>
    </w:rPr>
  </w:style>
  <w:style w:type="paragraph" w:customStyle="1" w:styleId="81">
    <w:name w:val="保留正文"/>
    <w:basedOn w:val="15"/>
    <w:qFormat/>
    <w:uiPriority w:val="99"/>
    <w:pPr>
      <w:keepNext/>
      <w:spacing w:after="160"/>
    </w:pPr>
  </w:style>
  <w:style w:type="paragraph" w:customStyle="1" w:styleId="82">
    <w:name w:val="题注4"/>
    <w:basedOn w:val="1"/>
    <w:next w:val="10"/>
    <w:qFormat/>
    <w:uiPriority w:val="99"/>
    <w:pPr>
      <w:ind w:left="-132" w:leftChars="-64" w:right="-105" w:rightChars="-50" w:hanging="2"/>
      <w:jc w:val="center"/>
    </w:pPr>
    <w:rPr>
      <w:b/>
      <w:bCs/>
      <w:color w:val="FF0000"/>
      <w:lang w:val="en-GB"/>
    </w:rPr>
  </w:style>
  <w:style w:type="paragraph" w:customStyle="1" w:styleId="83">
    <w:name w:val="正文 New"/>
    <w:qFormat/>
    <w:uiPriority w:val="99"/>
    <w:pPr>
      <w:widowControl w:val="0"/>
      <w:jc w:val="both"/>
    </w:pPr>
    <w:rPr>
      <w:rFonts w:ascii="Calibri" w:hAnsi="Calibri" w:eastAsia="宋体" w:cs="Calibri"/>
      <w:kern w:val="2"/>
      <w:sz w:val="21"/>
      <w:szCs w:val="21"/>
      <w:lang w:val="en-US" w:eastAsia="zh-CN" w:bidi="ar-SA"/>
    </w:rPr>
  </w:style>
  <w:style w:type="paragraph" w:customStyle="1" w:styleId="84">
    <w:name w:val="标题3"/>
    <w:basedOn w:val="5"/>
    <w:qFormat/>
    <w:uiPriority w:val="99"/>
    <w:pPr>
      <w:tabs>
        <w:tab w:val="left" w:pos="8640"/>
      </w:tabs>
      <w:adjustRightInd w:val="0"/>
      <w:jc w:val="left"/>
      <w:textAlignment w:val="baseline"/>
    </w:pPr>
    <w:rPr>
      <w:rFonts w:hAnsi="宋体"/>
      <w:sz w:val="32"/>
      <w:szCs w:val="32"/>
    </w:rPr>
  </w:style>
  <w:style w:type="paragraph" w:customStyle="1" w:styleId="85">
    <w:name w:val="页脚 New"/>
    <w:basedOn w:val="86"/>
    <w:qFormat/>
    <w:uiPriority w:val="99"/>
    <w:pPr>
      <w:widowControl/>
      <w:tabs>
        <w:tab w:val="center" w:pos="4153"/>
        <w:tab w:val="right" w:pos="8306"/>
      </w:tabs>
      <w:snapToGrid w:val="0"/>
      <w:jc w:val="left"/>
    </w:pPr>
    <w:rPr>
      <w:sz w:val="18"/>
      <w:szCs w:val="18"/>
    </w:rPr>
  </w:style>
  <w:style w:type="paragraph" w:customStyle="1" w:styleId="86">
    <w:name w:val="正文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87">
    <w:name w:val="Char1"/>
    <w:basedOn w:val="1"/>
    <w:qFormat/>
    <w:uiPriority w:val="99"/>
    <w:pPr>
      <w:widowControl/>
      <w:spacing w:before="100" w:beforeAutospacing="1" w:after="100" w:afterAutospacing="1" w:line="330" w:lineRule="atLeast"/>
      <w:ind w:left="360"/>
      <w:jc w:val="left"/>
    </w:pPr>
  </w:style>
  <w:style w:type="paragraph" w:customStyle="1" w:styleId="88">
    <w:name w:val="正文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89">
    <w:name w:val="修订1"/>
    <w:qFormat/>
    <w:uiPriority w:val="99"/>
    <w:rPr>
      <w:rFonts w:ascii="Calibri" w:hAnsi="Calibri" w:eastAsia="宋体" w:cs="Calibri"/>
      <w:kern w:val="2"/>
      <w:sz w:val="21"/>
      <w:szCs w:val="21"/>
      <w:lang w:val="en-US" w:eastAsia="zh-CN" w:bidi="ar-SA"/>
    </w:rPr>
  </w:style>
  <w:style w:type="paragraph" w:customStyle="1" w:styleId="90">
    <w:name w:val="题注5"/>
    <w:basedOn w:val="1"/>
    <w:next w:val="10"/>
    <w:qFormat/>
    <w:uiPriority w:val="99"/>
    <w:pPr>
      <w:jc w:val="center"/>
    </w:pPr>
    <w:rPr>
      <w:b/>
      <w:bCs/>
      <w:color w:val="000000"/>
      <w:sz w:val="24"/>
      <w:szCs w:val="24"/>
    </w:rPr>
  </w:style>
  <w:style w:type="paragraph" w:customStyle="1" w:styleId="91">
    <w:name w:val="列出段落1"/>
    <w:basedOn w:val="1"/>
    <w:qFormat/>
    <w:uiPriority w:val="99"/>
    <w:pPr>
      <w:widowControl/>
      <w:ind w:left="720"/>
      <w:jc w:val="left"/>
    </w:pPr>
    <w:rPr>
      <w:i/>
      <w:iCs/>
      <w:kern w:val="0"/>
      <w:sz w:val="20"/>
      <w:szCs w:val="20"/>
    </w:rPr>
  </w:style>
  <w:style w:type="paragraph" w:customStyle="1" w:styleId="92">
    <w:name w:val="二级目录"/>
    <w:basedOn w:val="1"/>
    <w:qFormat/>
    <w:uiPriority w:val="99"/>
    <w:pPr>
      <w:spacing w:line="360" w:lineRule="exact"/>
      <w:ind w:firstLine="412" w:firstLineChars="196"/>
      <w:outlineLvl w:val="1"/>
    </w:pPr>
    <w:rPr>
      <w:rFonts w:ascii="Times New Roman" w:hAnsi="宋体" w:cs="Times New Roman"/>
      <w:kern w:val="0"/>
    </w:rPr>
  </w:style>
  <w:style w:type="paragraph" w:customStyle="1" w:styleId="93">
    <w:name w:val="_Style 1"/>
    <w:basedOn w:val="1"/>
    <w:qFormat/>
    <w:uiPriority w:val="99"/>
    <w:pPr>
      <w:ind w:firstLine="420" w:firstLineChars="200"/>
    </w:pPr>
  </w:style>
  <w:style w:type="paragraph" w:customStyle="1" w:styleId="94">
    <w:name w:val="正文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95">
    <w:name w:val="Char Char Char Char"/>
    <w:basedOn w:val="1"/>
    <w:qFormat/>
    <w:uiPriority w:val="99"/>
    <w:rPr>
      <w:rFonts w:ascii="Tahoma" w:hAnsi="Tahoma" w:cs="Tahoma"/>
      <w:sz w:val="24"/>
      <w:szCs w:val="24"/>
    </w:rPr>
  </w:style>
  <w:style w:type="paragraph" w:customStyle="1" w:styleId="96">
    <w:name w:val="Char Char2 Char"/>
    <w:basedOn w:val="1"/>
    <w:qFormat/>
    <w:uiPriority w:val="99"/>
    <w:rPr>
      <w:rFonts w:ascii="宋体" w:hAnsi="宋体" w:cs="宋体"/>
      <w:b/>
      <w:bCs/>
      <w:sz w:val="28"/>
      <w:szCs w:val="28"/>
    </w:rPr>
  </w:style>
  <w:style w:type="paragraph" w:customStyle="1" w:styleId="97">
    <w:name w:val="正文缩入"/>
    <w:basedOn w:val="1"/>
    <w:qFormat/>
    <w:uiPriority w:val="99"/>
    <w:pPr>
      <w:spacing w:after="120"/>
      <w:ind w:firstLine="504"/>
    </w:pPr>
    <w:rPr>
      <w:sz w:val="24"/>
      <w:szCs w:val="24"/>
    </w:rPr>
  </w:style>
  <w:style w:type="paragraph" w:styleId="98">
    <w:name w:val="List Paragraph"/>
    <w:basedOn w:val="1"/>
    <w:qFormat/>
    <w:uiPriority w:val="34"/>
    <w:pPr>
      <w:ind w:firstLine="420" w:firstLineChars="200"/>
    </w:pPr>
  </w:style>
  <w:style w:type="paragraph" w:customStyle="1" w:styleId="99">
    <w:name w:val="Char1 Char Char Char Char Char Char1 Char Char Char"/>
    <w:basedOn w:val="1"/>
    <w:qFormat/>
    <w:uiPriority w:val="99"/>
    <w:pPr>
      <w:widowControl/>
      <w:spacing w:after="160" w:line="240" w:lineRule="exact"/>
      <w:jc w:val="left"/>
    </w:pPr>
    <w:rPr>
      <w:rFonts w:ascii="Verdana" w:hAnsi="Verdana" w:cs="Verdana"/>
      <w:kern w:val="0"/>
      <w:lang w:eastAsia="en-US"/>
    </w:rPr>
  </w:style>
  <w:style w:type="paragraph" w:customStyle="1" w:styleId="100">
    <w:name w:val="填表"/>
    <w:qFormat/>
    <w:uiPriority w:val="99"/>
    <w:rPr>
      <w:rFonts w:ascii="Calibri" w:hAnsi="Calibri" w:eastAsia="宋体" w:cs="Calibri"/>
      <w:kern w:val="2"/>
      <w:sz w:val="18"/>
      <w:szCs w:val="18"/>
      <w:lang w:val="en-US" w:eastAsia="zh-CN" w:bidi="ar-SA"/>
    </w:rPr>
  </w:style>
  <w:style w:type="paragraph" w:customStyle="1" w:styleId="101">
    <w:name w:val="表格文字"/>
    <w:basedOn w:val="1"/>
    <w:next w:val="15"/>
    <w:qFormat/>
    <w:uiPriority w:val="99"/>
    <w:pPr>
      <w:spacing w:before="25" w:after="25"/>
      <w:jc w:val="left"/>
    </w:pPr>
    <w:rPr>
      <w:spacing w:val="10"/>
      <w:kern w:val="0"/>
      <w:sz w:val="24"/>
      <w:szCs w:val="24"/>
    </w:rPr>
  </w:style>
  <w:style w:type="paragraph" w:customStyle="1" w:styleId="102">
    <w:name w:val="_Style 55"/>
    <w:basedOn w:val="1"/>
    <w:qFormat/>
    <w:uiPriority w:val="99"/>
    <w:pPr>
      <w:widowControl/>
      <w:spacing w:after="160" w:line="240" w:lineRule="exact"/>
      <w:jc w:val="left"/>
    </w:pPr>
  </w:style>
  <w:style w:type="paragraph" w:customStyle="1" w:styleId="103">
    <w:name w:val="正文文本缩进 21"/>
    <w:basedOn w:val="1"/>
    <w:qFormat/>
    <w:uiPriority w:val="99"/>
    <w:pPr>
      <w:spacing w:after="120" w:line="480" w:lineRule="auto"/>
      <w:ind w:left="420" w:leftChars="200"/>
    </w:pPr>
  </w:style>
  <w:style w:type="paragraph" w:customStyle="1" w:styleId="104">
    <w:name w:val="xl27"/>
    <w:basedOn w:val="1"/>
    <w:qFormat/>
    <w:uiPriority w:val="99"/>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105">
    <w:name w:val="正文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06">
    <w:name w:val="Char Char Char Char1"/>
    <w:basedOn w:val="1"/>
    <w:qFormat/>
    <w:uiPriority w:val="99"/>
    <w:rPr>
      <w:rFonts w:ascii="Tahoma" w:hAnsi="Tahoma" w:cs="Tahoma"/>
      <w:sz w:val="24"/>
      <w:szCs w:val="24"/>
    </w:rPr>
  </w:style>
  <w:style w:type="paragraph" w:customStyle="1" w:styleId="107">
    <w:name w:val="Char Char Char Char Char Char Char Char"/>
    <w:basedOn w:val="1"/>
    <w:next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08">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rPr>
  </w:style>
  <w:style w:type="paragraph" w:customStyle="1" w:styleId="109">
    <w:name w:val="标准正文"/>
    <w:basedOn w:val="16"/>
    <w:qFormat/>
    <w:uiPriority w:val="99"/>
    <w:pPr>
      <w:widowControl/>
      <w:spacing w:before="60" w:after="60" w:line="360" w:lineRule="auto"/>
      <w:ind w:left="0" w:leftChars="0" w:firstLine="482"/>
      <w:jc w:val="left"/>
    </w:pPr>
    <w:rPr>
      <w:rFonts w:ascii="Arial" w:hAnsi="Arial" w:cs="Arial"/>
      <w:kern w:val="0"/>
      <w:sz w:val="24"/>
      <w:szCs w:val="24"/>
    </w:rPr>
  </w:style>
  <w:style w:type="paragraph" w:customStyle="1" w:styleId="110">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111">
    <w:name w:val="正文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12">
    <w:name w:val="_正文"/>
    <w:basedOn w:val="1"/>
    <w:qFormat/>
    <w:uiPriority w:val="99"/>
    <w:pPr>
      <w:spacing w:line="360" w:lineRule="auto"/>
      <w:ind w:firstLine="200" w:firstLineChars="200"/>
    </w:pPr>
    <w:rPr>
      <w:rFonts w:ascii="宋体" w:hAnsi="宋体" w:cs="宋体"/>
      <w:sz w:val="24"/>
      <w:szCs w:val="24"/>
    </w:rPr>
  </w:style>
  <w:style w:type="paragraph" w:customStyle="1" w:styleId="113">
    <w:name w:val="1"/>
    <w:basedOn w:val="1"/>
    <w:next w:val="18"/>
    <w:qFormat/>
    <w:uiPriority w:val="99"/>
    <w:rPr>
      <w:rFonts w:ascii="宋体" w:hAnsi="Courier New" w:cs="宋体"/>
    </w:rPr>
  </w:style>
  <w:style w:type="paragraph" w:customStyle="1" w:styleId="114">
    <w:name w:val="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15">
    <w:name w:val="TOC 标题1"/>
    <w:basedOn w:val="3"/>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16">
    <w:name w:val="正文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17">
    <w:name w:val="列出段落11"/>
    <w:basedOn w:val="1"/>
    <w:qFormat/>
    <w:uiPriority w:val="99"/>
    <w:pPr>
      <w:ind w:firstLine="420" w:firstLineChars="200"/>
    </w:pPr>
  </w:style>
  <w:style w:type="paragraph" w:customStyle="1" w:styleId="118">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19">
    <w:name w:val="_Style 3"/>
    <w:basedOn w:val="1"/>
    <w:qFormat/>
    <w:uiPriority w:val="99"/>
    <w:pPr>
      <w:ind w:firstLine="420" w:firstLineChars="200"/>
    </w:pPr>
  </w:style>
  <w:style w:type="paragraph" w:customStyle="1" w:styleId="120">
    <w:name w:val="Char Char Char Char Char Char1 Char"/>
    <w:basedOn w:val="1"/>
    <w:qFormat/>
    <w:uiPriority w:val="99"/>
    <w:pPr>
      <w:widowControl/>
      <w:spacing w:after="160" w:line="240" w:lineRule="exact"/>
      <w:jc w:val="left"/>
    </w:pPr>
  </w:style>
  <w:style w:type="paragraph" w:customStyle="1" w:styleId="121">
    <w:name w:val="标题 1 New"/>
    <w:basedOn w:val="1"/>
    <w:next w:val="1"/>
    <w:qFormat/>
    <w:uiPriority w:val="99"/>
    <w:pPr>
      <w:keepNext/>
      <w:keepLines/>
      <w:spacing w:before="340" w:after="330" w:line="578" w:lineRule="auto"/>
      <w:outlineLvl w:val="0"/>
    </w:pPr>
    <w:rPr>
      <w:b/>
      <w:bCs/>
      <w:kern w:val="44"/>
      <w:sz w:val="44"/>
      <w:szCs w:val="44"/>
    </w:rPr>
  </w:style>
  <w:style w:type="paragraph" w:customStyle="1" w:styleId="122">
    <w:name w:val="p0"/>
    <w:basedOn w:val="1"/>
    <w:qFormat/>
    <w:uiPriority w:val="99"/>
    <w:pPr>
      <w:widowControl/>
    </w:pPr>
    <w:rPr>
      <w:kern w:val="0"/>
    </w:rPr>
  </w:style>
  <w:style w:type="paragraph" w:customStyle="1" w:styleId="123">
    <w:name w:val="Default"/>
    <w:qFormat/>
    <w:uiPriority w:val="99"/>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124">
    <w:name w:val="Char Char2"/>
    <w:basedOn w:val="1"/>
    <w:qFormat/>
    <w:uiPriority w:val="99"/>
  </w:style>
  <w:style w:type="character" w:customStyle="1" w:styleId="125">
    <w:name w:val="未处理的提及1"/>
    <w:semiHidden/>
    <w:qFormat/>
    <w:uiPriority w:val="99"/>
    <w:rPr>
      <w:color w:val="auto"/>
      <w:shd w:val="clear" w:color="auto" w:fill="auto"/>
    </w:rPr>
  </w:style>
  <w:style w:type="character" w:customStyle="1" w:styleId="126">
    <w:name w:val="纯文本 Char"/>
    <w:qFormat/>
    <w:uiPriority w:val="99"/>
    <w:rPr>
      <w:rFonts w:ascii="宋体" w:hAnsi="Courier New" w:eastAsia="宋体" w:cs="Times New Roman"/>
      <w:szCs w:val="21"/>
    </w:rPr>
  </w:style>
  <w:style w:type="character" w:customStyle="1" w:styleId="127">
    <w:name w:val="页眉 Char"/>
    <w:qFormat/>
    <w:uiPriority w:val="99"/>
    <w:rPr>
      <w:rFonts w:ascii="Times New Roman" w:hAnsi="Times New Roman" w:eastAsia="宋体" w:cs="Times New Roman"/>
      <w:sz w:val="18"/>
      <w:szCs w:val="18"/>
    </w:rPr>
  </w:style>
  <w:style w:type="character" w:customStyle="1" w:styleId="128">
    <w:name w:val="页脚 Char"/>
    <w:qFormat/>
    <w:uiPriority w:val="99"/>
    <w:rPr>
      <w:rFonts w:ascii="Times New Roman" w:hAnsi="Times New Roman" w:eastAsia="宋体" w:cs="Times New Roman"/>
      <w:sz w:val="18"/>
      <w:szCs w:val="18"/>
    </w:rPr>
  </w:style>
  <w:style w:type="character" w:customStyle="1" w:styleId="129">
    <w:name w:val="正文缩进 Char"/>
    <w:link w:val="9"/>
    <w:qFormat/>
    <w:uiPriority w:val="99"/>
    <w:rPr>
      <w:rFonts w:ascii="Calibri" w:hAnsi="Calibri" w:cs="Calibri"/>
      <w:kern w:val="2"/>
      <w:sz w:val="21"/>
      <w:szCs w:val="21"/>
    </w:rPr>
  </w:style>
  <w:style w:type="paragraph" w:customStyle="1" w:styleId="130">
    <w:name w:val="È±Ê¡ÎÄ±¾"/>
    <w:basedOn w:val="1"/>
    <w:qFormat/>
    <w:uiPriority w:val="0"/>
    <w:pPr>
      <w:widowControl/>
      <w:overflowPunct w:val="0"/>
      <w:autoSpaceDE w:val="0"/>
      <w:autoSpaceDN w:val="0"/>
      <w:adjustRightInd w:val="0"/>
      <w:jc w:val="left"/>
      <w:textAlignment w:val="baseline"/>
    </w:pPr>
    <w:rPr>
      <w:rFonts w:ascii="宋体" w:hAnsi="Times New Roman"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3924</Words>
  <Characters>22367</Characters>
  <Lines>186</Lines>
  <Paragraphs>52</Paragraphs>
  <TotalTime>0</TotalTime>
  <ScaleCrop>false</ScaleCrop>
  <LinksUpToDate>false</LinksUpToDate>
  <CharactersWithSpaces>26239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2024-06-20T02:11:00Z</dcterms:created>
  <dc:creator>dministrator</dc:creator>
  <cp:lastModifiedBy>刘红君</cp:lastModifiedBy>
  <cp:lastPrinted>2024-06-18T07:10:00Z</cp:lastPrinted>
  <dcterms:modified xsi:type="dcterms:W3CDTF">2026-07-13T10:21:51Z</dcterms:modified>
  <dc:title>国内货物采购招标文件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3B7685DDF98943318AEADD00D6442F90</vt:lpwstr>
  </property>
</Properties>
</file>